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6A" w:rsidRPr="007F5C6A" w:rsidRDefault="007F5C6A" w:rsidP="007F5C6A">
      <w:pPr>
        <w:spacing w:before="81"/>
        <w:ind w:left="1122" w:right="1541"/>
        <w:jc w:val="center"/>
        <w:outlineLvl w:val="0"/>
        <w:rPr>
          <w:rFonts w:ascii="Cambria" w:eastAsia="Cambria" w:hAnsi="Cambria" w:cs="Cambria"/>
          <w:b/>
          <w:bCs/>
          <w:sz w:val="28"/>
          <w:szCs w:val="28"/>
          <w:lang w:val="en-US" w:bidi="en-US"/>
        </w:rPr>
      </w:pPr>
    </w:p>
    <w:tbl>
      <w:tblPr>
        <w:tblW w:w="5000" w:type="pct"/>
        <w:jc w:val="center"/>
        <w:tblLook w:val="04A0" w:firstRow="1" w:lastRow="0" w:firstColumn="1" w:lastColumn="0" w:noHBand="0" w:noVBand="1"/>
      </w:tblPr>
      <w:tblGrid>
        <w:gridCol w:w="9360"/>
      </w:tblGrid>
      <w:tr w:rsidR="007F5C6A" w:rsidRPr="007F5C6A" w:rsidTr="007A5686">
        <w:trPr>
          <w:trHeight w:val="1771"/>
          <w:jc w:val="center"/>
        </w:trPr>
        <w:tc>
          <w:tcPr>
            <w:tcW w:w="5000" w:type="pct"/>
          </w:tcPr>
          <w:p w:rsidR="007F5C6A" w:rsidRDefault="007F5C6A" w:rsidP="007F5C6A">
            <w:pPr>
              <w:widowControl w:val="0"/>
              <w:autoSpaceDE w:val="0"/>
              <w:autoSpaceDN w:val="0"/>
              <w:spacing w:after="0" w:line="240" w:lineRule="auto"/>
              <w:jc w:val="center"/>
              <w:rPr>
                <w:rFonts w:ascii="Arial Black" w:eastAsia="Cambria" w:hAnsi="Arial Black" w:cs="Cambria"/>
                <w:b/>
                <w:caps/>
                <w:sz w:val="40"/>
                <w:szCs w:val="40"/>
                <w:lang w:bidi="en-US"/>
              </w:rPr>
            </w:pPr>
          </w:p>
          <w:p w:rsidR="007F5C6A" w:rsidRDefault="007F5C6A" w:rsidP="007F5C6A">
            <w:pPr>
              <w:widowControl w:val="0"/>
              <w:autoSpaceDE w:val="0"/>
              <w:autoSpaceDN w:val="0"/>
              <w:spacing w:after="0" w:line="240" w:lineRule="auto"/>
              <w:jc w:val="center"/>
              <w:rPr>
                <w:rFonts w:ascii="Arial Black" w:eastAsia="Cambria" w:hAnsi="Arial Black" w:cs="Cambria"/>
                <w:b/>
                <w:caps/>
                <w:sz w:val="40"/>
                <w:szCs w:val="40"/>
                <w:lang w:bidi="en-US"/>
              </w:rPr>
            </w:pPr>
            <w:r w:rsidRPr="007F5C6A">
              <w:rPr>
                <w:rFonts w:ascii="Arial Black" w:eastAsia="Cambria" w:hAnsi="Arial Black" w:cs="Cambria"/>
                <w:b/>
                <w:caps/>
                <w:sz w:val="40"/>
                <w:szCs w:val="40"/>
                <w:lang w:bidi="en-US"/>
              </w:rPr>
              <w:t>NATIONAL COMMUNICATIONS AUTHORITY</w:t>
            </w:r>
          </w:p>
          <w:p w:rsidR="007F5C6A" w:rsidRPr="007F5C6A" w:rsidRDefault="007F5C6A" w:rsidP="007F5C6A">
            <w:pPr>
              <w:widowControl w:val="0"/>
              <w:autoSpaceDE w:val="0"/>
              <w:autoSpaceDN w:val="0"/>
              <w:spacing w:after="0" w:line="240" w:lineRule="auto"/>
              <w:jc w:val="center"/>
              <w:rPr>
                <w:rFonts w:ascii="Arial Black" w:eastAsia="Cambria" w:hAnsi="Arial Black" w:cs="Cambria"/>
                <w:caps/>
                <w:sz w:val="40"/>
                <w:szCs w:val="40"/>
                <w:lang w:bidi="en-US"/>
              </w:rPr>
            </w:pPr>
          </w:p>
        </w:tc>
      </w:tr>
      <w:tr w:rsidR="007F5C6A" w:rsidRPr="007F5C6A" w:rsidTr="007A5686">
        <w:trPr>
          <w:trHeight w:val="2735"/>
          <w:jc w:val="center"/>
        </w:trPr>
        <w:tc>
          <w:tcPr>
            <w:tcW w:w="5000" w:type="pct"/>
          </w:tcPr>
          <w:p w:rsidR="007F5C6A" w:rsidRDefault="007F5C6A" w:rsidP="007F5C6A">
            <w:pPr>
              <w:widowControl w:val="0"/>
              <w:autoSpaceDE w:val="0"/>
              <w:autoSpaceDN w:val="0"/>
              <w:spacing w:after="0" w:line="240" w:lineRule="auto"/>
              <w:jc w:val="center"/>
              <w:rPr>
                <w:rFonts w:ascii="Californian FB" w:eastAsia="Cambria" w:hAnsi="Californian FB" w:cs="Cambria"/>
                <w:b/>
                <w:caps/>
                <w:sz w:val="40"/>
                <w:szCs w:val="40"/>
                <w:lang w:bidi="en-US"/>
              </w:rPr>
            </w:pPr>
          </w:p>
          <w:p w:rsidR="007F5C6A" w:rsidRPr="007F5C6A" w:rsidRDefault="007F5C6A" w:rsidP="007F5C6A">
            <w:pPr>
              <w:widowControl w:val="0"/>
              <w:autoSpaceDE w:val="0"/>
              <w:autoSpaceDN w:val="0"/>
              <w:spacing w:after="0" w:line="240" w:lineRule="auto"/>
              <w:jc w:val="center"/>
              <w:rPr>
                <w:rFonts w:ascii="Californian FB" w:eastAsia="Cambria" w:hAnsi="Californian FB" w:cs="Cambria"/>
                <w:b/>
                <w:caps/>
                <w:sz w:val="40"/>
                <w:szCs w:val="40"/>
                <w:lang w:bidi="en-US"/>
              </w:rPr>
            </w:pPr>
            <w:r w:rsidRPr="007F5C6A">
              <w:rPr>
                <w:rFonts w:ascii="Californian FB" w:eastAsia="Cambria" w:hAnsi="Californian FB" w:cs="Cambria"/>
                <w:b/>
                <w:caps/>
                <w:noProof/>
                <w:sz w:val="40"/>
                <w:szCs w:val="40"/>
                <w:lang w:eastAsia="en-GB"/>
              </w:rPr>
              <w:drawing>
                <wp:inline distT="0" distB="0" distL="0" distR="0" wp14:anchorId="03C453AC" wp14:editId="1DCAAC94">
                  <wp:extent cx="1518824" cy="13239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857" cy="1337951"/>
                          </a:xfrm>
                          <a:prstGeom prst="rect">
                            <a:avLst/>
                          </a:prstGeom>
                          <a:noFill/>
                        </pic:spPr>
                      </pic:pic>
                    </a:graphicData>
                  </a:graphic>
                </wp:inline>
              </w:drawing>
            </w:r>
          </w:p>
        </w:tc>
      </w:tr>
      <w:tr w:rsidR="007F5C6A" w:rsidRPr="007F5C6A" w:rsidTr="007A5686">
        <w:trPr>
          <w:trHeight w:val="1368"/>
          <w:jc w:val="center"/>
        </w:trPr>
        <w:tc>
          <w:tcPr>
            <w:tcW w:w="5000" w:type="pct"/>
            <w:tcBorders>
              <w:bottom w:val="single" w:sz="4" w:space="0" w:color="4F81BD"/>
            </w:tcBorders>
            <w:vAlign w:val="center"/>
          </w:tcPr>
          <w:p w:rsidR="007F5C6A" w:rsidRPr="007F5C6A" w:rsidRDefault="007F5C6A" w:rsidP="007F5C6A">
            <w:pPr>
              <w:widowControl w:val="0"/>
              <w:autoSpaceDE w:val="0"/>
              <w:autoSpaceDN w:val="0"/>
              <w:spacing w:after="0" w:line="240" w:lineRule="auto"/>
              <w:jc w:val="center"/>
              <w:rPr>
                <w:rFonts w:ascii="Cambria" w:eastAsia="Cambria" w:hAnsi="Cambria" w:cs="Cambria"/>
                <w:b/>
                <w:bCs/>
                <w:sz w:val="48"/>
                <w:szCs w:val="48"/>
                <w:lang w:bidi="en-US"/>
              </w:rPr>
            </w:pPr>
          </w:p>
          <w:p w:rsidR="007F5C6A" w:rsidRDefault="007F5C6A" w:rsidP="00C0415C">
            <w:pPr>
              <w:widowControl w:val="0"/>
              <w:pBdr>
                <w:top w:val="single" w:sz="4" w:space="1" w:color="2E74B5" w:themeColor="accent1" w:themeShade="BF"/>
              </w:pBdr>
              <w:autoSpaceDE w:val="0"/>
              <w:autoSpaceDN w:val="0"/>
              <w:spacing w:after="0" w:line="240" w:lineRule="auto"/>
              <w:jc w:val="center"/>
              <w:rPr>
                <w:rFonts w:ascii="Cambria" w:eastAsia="Cambria" w:hAnsi="Cambria" w:cs="Cambria"/>
                <w:b/>
                <w:bCs/>
                <w:sz w:val="36"/>
                <w:szCs w:val="32"/>
                <w:lang w:bidi="en-US"/>
              </w:rPr>
            </w:pPr>
          </w:p>
          <w:p w:rsidR="007F5C6A" w:rsidRPr="007055F7" w:rsidRDefault="007F5C6A" w:rsidP="00BE41CF">
            <w:pPr>
              <w:pBdr>
                <w:top w:val="single" w:sz="4" w:space="1" w:color="2E74B5" w:themeColor="accent1" w:themeShade="BF"/>
              </w:pBdr>
              <w:jc w:val="center"/>
              <w:rPr>
                <w:rFonts w:ascii="Cambria" w:hAnsi="Cambria" w:cs="Arial"/>
                <w:b/>
                <w:bCs/>
                <w:color w:val="000000" w:themeColor="text1"/>
                <w:sz w:val="36"/>
                <w:szCs w:val="36"/>
              </w:rPr>
            </w:pPr>
            <w:r w:rsidRPr="007055F7">
              <w:rPr>
                <w:rFonts w:ascii="Cambria" w:eastAsia="Cambria" w:hAnsi="Cambria" w:cs="Cambria"/>
                <w:b/>
                <w:bCs/>
                <w:sz w:val="36"/>
                <w:szCs w:val="32"/>
                <w:lang w:bidi="en-US"/>
              </w:rPr>
              <w:t xml:space="preserve">PUBLIC CONSULTATION </w:t>
            </w:r>
            <w:r w:rsidR="00BE41CF">
              <w:rPr>
                <w:rFonts w:ascii="Cambria" w:eastAsia="Cambria" w:hAnsi="Cambria" w:cs="Cambria"/>
                <w:b/>
                <w:bCs/>
                <w:sz w:val="36"/>
                <w:szCs w:val="32"/>
                <w:lang w:bidi="en-US"/>
              </w:rPr>
              <w:t>-</w:t>
            </w:r>
            <w:r w:rsidRPr="007055F7">
              <w:rPr>
                <w:rFonts w:ascii="Cambria" w:eastAsia="Cambria" w:hAnsi="Cambria" w:cs="Cambria"/>
                <w:b/>
                <w:bCs/>
                <w:sz w:val="36"/>
                <w:szCs w:val="32"/>
                <w:lang w:bidi="en-US"/>
              </w:rPr>
              <w:t xml:space="preserve"> </w:t>
            </w:r>
            <w:r w:rsidR="007055F7" w:rsidRPr="007055F7">
              <w:rPr>
                <w:rFonts w:ascii="Cambria" w:hAnsi="Cambria" w:cs="Arial"/>
                <w:b/>
                <w:bCs/>
                <w:color w:val="000000" w:themeColor="text1"/>
                <w:sz w:val="36"/>
                <w:szCs w:val="36"/>
              </w:rPr>
              <w:t>DISPUTE RESOLUTION COMMITTEE (DRC) USER GUIDELINES</w:t>
            </w:r>
          </w:p>
        </w:tc>
      </w:tr>
      <w:tr w:rsidR="007F5C6A" w:rsidRPr="007F5C6A" w:rsidTr="007A5686">
        <w:trPr>
          <w:trHeight w:val="684"/>
          <w:jc w:val="center"/>
        </w:trPr>
        <w:tc>
          <w:tcPr>
            <w:tcW w:w="5000" w:type="pct"/>
            <w:tcBorders>
              <w:top w:val="single" w:sz="4" w:space="0" w:color="4F81BD"/>
            </w:tcBorders>
            <w:vAlign w:val="center"/>
          </w:tcPr>
          <w:p w:rsidR="007F5C6A" w:rsidRPr="007F5C6A" w:rsidRDefault="007F5C6A" w:rsidP="007F5C6A">
            <w:pPr>
              <w:widowControl w:val="0"/>
              <w:autoSpaceDE w:val="0"/>
              <w:autoSpaceDN w:val="0"/>
              <w:spacing w:after="0" w:line="240" w:lineRule="auto"/>
              <w:jc w:val="center"/>
              <w:rPr>
                <w:rFonts w:ascii="Cambria" w:eastAsia="Cambria" w:hAnsi="Cambria" w:cs="Copperplate Gothic Bold"/>
                <w:b/>
                <w:bCs/>
                <w:spacing w:val="16"/>
                <w:sz w:val="30"/>
                <w:szCs w:val="30"/>
                <w:lang w:bidi="en-US"/>
              </w:rPr>
            </w:pPr>
          </w:p>
          <w:p w:rsidR="007F5C6A" w:rsidRPr="007055F7" w:rsidRDefault="00C0415C" w:rsidP="007F5C6A">
            <w:pPr>
              <w:widowControl w:val="0"/>
              <w:autoSpaceDE w:val="0"/>
              <w:autoSpaceDN w:val="0"/>
              <w:spacing w:before="36" w:after="0" w:line="240" w:lineRule="auto"/>
              <w:ind w:left="360"/>
              <w:jc w:val="center"/>
              <w:rPr>
                <w:rFonts w:ascii="Cambria" w:eastAsia="Cambria" w:hAnsi="Cambria" w:cs="Copperplate Gothic Bold"/>
                <w:b/>
                <w:bCs/>
                <w:i/>
                <w:spacing w:val="16"/>
                <w:sz w:val="30"/>
                <w:szCs w:val="30"/>
                <w:lang w:val="en-US" w:bidi="en-US"/>
              </w:rPr>
            </w:pPr>
            <w:r>
              <w:rPr>
                <w:rFonts w:ascii="Cambria" w:eastAsia="Cambria" w:hAnsi="Cambria" w:cs="Copperplate Gothic Bold"/>
                <w:b/>
                <w:bCs/>
                <w:i/>
                <w:spacing w:val="16"/>
                <w:sz w:val="30"/>
                <w:szCs w:val="30"/>
                <w:lang w:val="en-US" w:bidi="en-US"/>
              </w:rPr>
              <w:t>March</w:t>
            </w:r>
            <w:r w:rsidR="007F5C6A" w:rsidRPr="007055F7">
              <w:rPr>
                <w:rFonts w:ascii="Cambria" w:eastAsia="Cambria" w:hAnsi="Cambria" w:cs="Copperplate Gothic Bold"/>
                <w:b/>
                <w:bCs/>
                <w:i/>
                <w:spacing w:val="16"/>
                <w:sz w:val="30"/>
                <w:szCs w:val="30"/>
                <w:lang w:val="en-US" w:bidi="en-US"/>
              </w:rPr>
              <w:t xml:space="preserve"> 2024</w:t>
            </w:r>
          </w:p>
          <w:p w:rsidR="007F5C6A" w:rsidRPr="007F5C6A" w:rsidRDefault="007F5C6A" w:rsidP="007F5C6A">
            <w:pPr>
              <w:widowControl w:val="0"/>
              <w:autoSpaceDE w:val="0"/>
              <w:autoSpaceDN w:val="0"/>
              <w:spacing w:after="0" w:line="240" w:lineRule="auto"/>
              <w:jc w:val="center"/>
              <w:rPr>
                <w:rFonts w:ascii="Cambria" w:eastAsia="Cambria" w:hAnsi="Cambria" w:cs="Copperplate Gothic Bold"/>
                <w:b/>
                <w:bCs/>
                <w:spacing w:val="16"/>
                <w:sz w:val="30"/>
                <w:szCs w:val="30"/>
                <w:lang w:bidi="en-US"/>
              </w:rPr>
            </w:pPr>
          </w:p>
          <w:p w:rsidR="007F5C6A" w:rsidRPr="007F5C6A" w:rsidRDefault="007F5C6A" w:rsidP="007F5C6A">
            <w:pPr>
              <w:widowControl w:val="0"/>
              <w:autoSpaceDE w:val="0"/>
              <w:autoSpaceDN w:val="0"/>
              <w:spacing w:after="0" w:line="240" w:lineRule="auto"/>
              <w:jc w:val="center"/>
              <w:rPr>
                <w:rFonts w:ascii="Cambria" w:eastAsia="Cambria" w:hAnsi="Cambria" w:cs="Copperplate Gothic Bold"/>
                <w:b/>
                <w:bCs/>
                <w:spacing w:val="16"/>
                <w:sz w:val="30"/>
                <w:szCs w:val="30"/>
                <w:lang w:bidi="en-US"/>
              </w:rPr>
            </w:pPr>
          </w:p>
          <w:p w:rsidR="007F5C6A" w:rsidRPr="007F5C6A" w:rsidRDefault="007F5C6A" w:rsidP="007F5C6A">
            <w:pPr>
              <w:widowControl w:val="0"/>
              <w:autoSpaceDE w:val="0"/>
              <w:autoSpaceDN w:val="0"/>
              <w:spacing w:after="0" w:line="240" w:lineRule="auto"/>
              <w:jc w:val="center"/>
              <w:rPr>
                <w:rFonts w:ascii="Cambria" w:eastAsia="Cambria" w:hAnsi="Cambria" w:cs="Copperplate Gothic Bold"/>
                <w:b/>
                <w:bCs/>
                <w:spacing w:val="16"/>
                <w:sz w:val="30"/>
                <w:szCs w:val="30"/>
                <w:lang w:bidi="en-US"/>
              </w:rPr>
            </w:pPr>
          </w:p>
          <w:p w:rsidR="007F5C6A" w:rsidRPr="007F5C6A" w:rsidRDefault="007F5C6A" w:rsidP="007F5C6A">
            <w:pPr>
              <w:widowControl w:val="0"/>
              <w:autoSpaceDE w:val="0"/>
              <w:autoSpaceDN w:val="0"/>
              <w:spacing w:after="0" w:line="240" w:lineRule="auto"/>
              <w:jc w:val="center"/>
              <w:rPr>
                <w:rFonts w:ascii="Cambria" w:eastAsia="Cambria" w:hAnsi="Cambria" w:cs="Cambria"/>
                <w:sz w:val="44"/>
                <w:szCs w:val="44"/>
                <w:lang w:bidi="en-US"/>
              </w:rPr>
            </w:pPr>
          </w:p>
        </w:tc>
      </w:tr>
      <w:tr w:rsidR="007F5C6A" w:rsidRPr="007F5C6A" w:rsidTr="007A5686">
        <w:trPr>
          <w:trHeight w:val="342"/>
          <w:jc w:val="center"/>
        </w:trPr>
        <w:tc>
          <w:tcPr>
            <w:tcW w:w="5000" w:type="pct"/>
            <w:vAlign w:val="center"/>
          </w:tcPr>
          <w:p w:rsidR="007F5C6A" w:rsidRPr="007F5C6A" w:rsidRDefault="007F5C6A" w:rsidP="007F5C6A">
            <w:pPr>
              <w:widowControl w:val="0"/>
              <w:autoSpaceDE w:val="0"/>
              <w:autoSpaceDN w:val="0"/>
              <w:spacing w:after="0" w:line="240" w:lineRule="auto"/>
              <w:jc w:val="center"/>
              <w:rPr>
                <w:rFonts w:ascii="Californian FB" w:eastAsia="Cambria" w:hAnsi="Californian FB" w:cs="Cambria"/>
                <w:lang w:bidi="en-US"/>
              </w:rPr>
            </w:pPr>
          </w:p>
        </w:tc>
      </w:tr>
      <w:tr w:rsidR="007F5C6A" w:rsidRPr="007F5C6A" w:rsidTr="007A5686">
        <w:trPr>
          <w:trHeight w:val="342"/>
          <w:jc w:val="center"/>
        </w:trPr>
        <w:tc>
          <w:tcPr>
            <w:tcW w:w="5000" w:type="pct"/>
            <w:vAlign w:val="center"/>
          </w:tcPr>
          <w:p w:rsidR="007F5C6A" w:rsidRPr="007F5C6A" w:rsidRDefault="007F5C6A" w:rsidP="007F5C6A">
            <w:pPr>
              <w:widowControl w:val="0"/>
              <w:autoSpaceDE w:val="0"/>
              <w:autoSpaceDN w:val="0"/>
              <w:spacing w:after="0" w:line="240" w:lineRule="auto"/>
              <w:jc w:val="center"/>
              <w:rPr>
                <w:rFonts w:ascii="Californian FB" w:eastAsia="Cambria" w:hAnsi="Californian FB" w:cs="Cambria"/>
                <w:b/>
                <w:bCs/>
                <w:lang w:bidi="en-US"/>
              </w:rPr>
            </w:pPr>
          </w:p>
        </w:tc>
      </w:tr>
      <w:tr w:rsidR="007F5C6A" w:rsidRPr="007F5C6A" w:rsidTr="007A5686">
        <w:trPr>
          <w:trHeight w:val="342"/>
          <w:jc w:val="center"/>
        </w:trPr>
        <w:tc>
          <w:tcPr>
            <w:tcW w:w="5000" w:type="pct"/>
            <w:vAlign w:val="center"/>
          </w:tcPr>
          <w:p w:rsidR="007F5C6A" w:rsidRPr="007F5C6A" w:rsidRDefault="007F5C6A" w:rsidP="007F5C6A">
            <w:pPr>
              <w:widowControl w:val="0"/>
              <w:autoSpaceDE w:val="0"/>
              <w:autoSpaceDN w:val="0"/>
              <w:spacing w:after="0" w:line="240" w:lineRule="auto"/>
              <w:rPr>
                <w:rFonts w:ascii="Californian FB" w:eastAsia="Cambria" w:hAnsi="Californian FB" w:cs="Cambria"/>
                <w:b/>
                <w:bCs/>
                <w:lang w:bidi="en-US"/>
              </w:rPr>
            </w:pPr>
          </w:p>
        </w:tc>
      </w:tr>
    </w:tbl>
    <w:p w:rsidR="007F5C6A" w:rsidRPr="007F5C6A" w:rsidRDefault="007F5C6A" w:rsidP="007F5C6A">
      <w:pPr>
        <w:widowControl w:val="0"/>
        <w:autoSpaceDE w:val="0"/>
        <w:autoSpaceDN w:val="0"/>
        <w:spacing w:after="0" w:line="240" w:lineRule="auto"/>
        <w:rPr>
          <w:rFonts w:ascii="Californian FB" w:eastAsia="Cambria" w:hAnsi="Californian FB" w:cs="Cambria"/>
          <w:lang w:val="en-US" w:bidi="en-US"/>
        </w:rPr>
      </w:pPr>
    </w:p>
    <w:p w:rsidR="007F5C6A" w:rsidRPr="007F5C6A" w:rsidRDefault="007F5C6A" w:rsidP="007F5C6A">
      <w:pPr>
        <w:widowControl w:val="0"/>
        <w:autoSpaceDE w:val="0"/>
        <w:autoSpaceDN w:val="0"/>
        <w:spacing w:after="0" w:line="240" w:lineRule="auto"/>
        <w:rPr>
          <w:rFonts w:ascii="Californian FB" w:eastAsia="Cambria" w:hAnsi="Californian FB" w:cs="Cambria"/>
          <w:lang w:val="en-US" w:bidi="en-US"/>
        </w:rPr>
      </w:pPr>
    </w:p>
    <w:p w:rsidR="007F5C6A" w:rsidRPr="007F5C6A" w:rsidRDefault="007F5C6A" w:rsidP="007F5C6A">
      <w:pPr>
        <w:widowControl w:val="0"/>
        <w:autoSpaceDE w:val="0"/>
        <w:autoSpaceDN w:val="0"/>
        <w:spacing w:after="0" w:line="240" w:lineRule="auto"/>
        <w:rPr>
          <w:rFonts w:ascii="Californian FB" w:eastAsia="Cambria" w:hAnsi="Californian FB" w:cs="Cambria"/>
          <w:lang w:val="en-US" w:bidi="en-US"/>
        </w:rPr>
      </w:pPr>
    </w:p>
    <w:p w:rsidR="007F5C6A" w:rsidRPr="007F5C6A" w:rsidRDefault="007F5C6A" w:rsidP="007F5C6A">
      <w:pPr>
        <w:widowControl w:val="0"/>
        <w:autoSpaceDE w:val="0"/>
        <w:autoSpaceDN w:val="0"/>
        <w:spacing w:after="0" w:line="240" w:lineRule="auto"/>
        <w:rPr>
          <w:rFonts w:ascii="Californian FB" w:eastAsia="Cambria" w:hAnsi="Californian FB" w:cs="Cambria"/>
          <w:lang w:val="en-US" w:bidi="en-US"/>
        </w:rPr>
      </w:pPr>
    </w:p>
    <w:p w:rsidR="007F5C6A" w:rsidRPr="007F5C6A" w:rsidRDefault="00A73614" w:rsidP="007F5C6A">
      <w:pPr>
        <w:pStyle w:val="NoSpacing"/>
        <w:spacing w:before="1540" w:after="240"/>
        <w:jc w:val="center"/>
        <w:rPr>
          <w:rFonts w:ascii="Cambria" w:eastAsia="Cambria" w:hAnsi="Cambria" w:cs="Cambria"/>
          <w:b/>
          <w:bCs/>
          <w:sz w:val="26"/>
          <w:szCs w:val="26"/>
          <w:lang w:bidi="en-US"/>
        </w:rPr>
      </w:pPr>
      <w:r>
        <w:rPr>
          <w:rFonts w:ascii="Cambria" w:eastAsia="Cambria" w:hAnsi="Cambria" w:cs="Cambria"/>
          <w:b/>
          <w:bCs/>
          <w:sz w:val="26"/>
          <w:szCs w:val="26"/>
          <w:lang w:bidi="en-US"/>
        </w:rPr>
        <w:lastRenderedPageBreak/>
        <w:t>Invitation for Comments</w:t>
      </w:r>
      <w:r w:rsidR="00BE41CF">
        <w:rPr>
          <w:rFonts w:ascii="Cambria" w:eastAsia="Cambria" w:hAnsi="Cambria" w:cs="Cambria"/>
          <w:b/>
          <w:bCs/>
          <w:sz w:val="26"/>
          <w:szCs w:val="26"/>
          <w:lang w:bidi="en-US"/>
        </w:rPr>
        <w:t>-</w:t>
      </w:r>
      <w:r>
        <w:rPr>
          <w:rFonts w:ascii="Cambria" w:eastAsia="Cambria" w:hAnsi="Cambria" w:cs="Cambria"/>
          <w:b/>
          <w:bCs/>
          <w:sz w:val="26"/>
          <w:szCs w:val="26"/>
          <w:lang w:bidi="en-US"/>
        </w:rPr>
        <w:t xml:space="preserve"> </w:t>
      </w:r>
      <w:r w:rsidR="009D6896">
        <w:rPr>
          <w:rFonts w:ascii="Cambria" w:eastAsia="Cambria" w:hAnsi="Cambria" w:cs="Cambria"/>
          <w:b/>
          <w:bCs/>
          <w:sz w:val="26"/>
          <w:szCs w:val="26"/>
          <w:lang w:bidi="en-US"/>
        </w:rPr>
        <w:t>Dispute Resolution Committee (DRC) User Guidelines</w:t>
      </w:r>
    </w:p>
    <w:p w:rsidR="007F5C6A" w:rsidRPr="00725F49" w:rsidRDefault="007F5C6A" w:rsidP="00FE04DC">
      <w:pPr>
        <w:pStyle w:val="ListParagraph"/>
        <w:widowControl w:val="0"/>
        <w:numPr>
          <w:ilvl w:val="0"/>
          <w:numId w:val="13"/>
        </w:numPr>
        <w:autoSpaceDE w:val="0"/>
        <w:autoSpaceDN w:val="0"/>
        <w:ind w:right="96"/>
        <w:outlineLvl w:val="0"/>
        <w:rPr>
          <w:rFonts w:ascii="Cambria" w:eastAsia="Cambria" w:hAnsi="Cambria" w:cs="Cambria"/>
          <w:bCs/>
          <w:lang w:val="en-US" w:bidi="en-US"/>
        </w:rPr>
      </w:pPr>
      <w:r w:rsidRPr="00725F49">
        <w:rPr>
          <w:rFonts w:ascii="Cambria" w:eastAsia="Cambria" w:hAnsi="Cambria" w:cs="Cambria"/>
          <w:bCs/>
          <w:lang w:val="en-US" w:bidi="en-US"/>
        </w:rPr>
        <w:t xml:space="preserve">The </w:t>
      </w:r>
      <w:r w:rsidR="00A73614" w:rsidRPr="00725F49">
        <w:rPr>
          <w:rFonts w:ascii="Cambria" w:eastAsia="Cambria" w:hAnsi="Cambria" w:cs="Cambria"/>
          <w:bCs/>
          <w:lang w:val="en-US" w:bidi="en-US"/>
        </w:rPr>
        <w:t xml:space="preserve">National Communications Authority </w:t>
      </w:r>
      <w:r w:rsidRPr="00725F49">
        <w:rPr>
          <w:rFonts w:ascii="Cambria" w:eastAsia="Cambria" w:hAnsi="Cambria" w:cs="Cambria"/>
          <w:bCs/>
          <w:lang w:val="en-US" w:bidi="en-US"/>
        </w:rPr>
        <w:t xml:space="preserve">(NCA) intends to issue </w:t>
      </w:r>
      <w:r w:rsidR="009D6896" w:rsidRPr="00725F49">
        <w:rPr>
          <w:rFonts w:ascii="Cambria" w:eastAsia="Cambria" w:hAnsi="Cambria" w:cs="Cambria"/>
          <w:bCs/>
          <w:lang w:val="en-US" w:bidi="en-US"/>
        </w:rPr>
        <w:t>User Guidelines for its Dispute Resolution Committee</w:t>
      </w:r>
      <w:r w:rsidR="00C0415C">
        <w:rPr>
          <w:rFonts w:ascii="Cambria" w:eastAsia="Cambria" w:hAnsi="Cambria" w:cs="Cambria"/>
          <w:bCs/>
          <w:lang w:val="en-US" w:bidi="en-US"/>
        </w:rPr>
        <w:t xml:space="preserve"> (DRC)</w:t>
      </w:r>
      <w:r w:rsidR="009D6896" w:rsidRPr="00725F49">
        <w:rPr>
          <w:rFonts w:ascii="Cambria" w:eastAsia="Cambria" w:hAnsi="Cambria" w:cs="Cambria"/>
          <w:bCs/>
          <w:lang w:val="en-US" w:bidi="en-US"/>
        </w:rPr>
        <w:t xml:space="preserve"> </w:t>
      </w:r>
      <w:r w:rsidRPr="00725F49">
        <w:rPr>
          <w:rFonts w:ascii="Cambria" w:eastAsia="Cambria" w:hAnsi="Cambria" w:cs="Cambria"/>
          <w:bCs/>
          <w:lang w:val="en-US" w:bidi="en-US"/>
        </w:rPr>
        <w:t>pursuant to its mandate under Section 3(r) of the National Communi</w:t>
      </w:r>
      <w:r w:rsidR="009D6896" w:rsidRPr="00725F49">
        <w:rPr>
          <w:rFonts w:ascii="Cambria" w:eastAsia="Cambria" w:hAnsi="Cambria" w:cs="Cambria"/>
          <w:bCs/>
          <w:lang w:val="en-US" w:bidi="en-US"/>
        </w:rPr>
        <w:t>cations Authority Act, 2008 (Act</w:t>
      </w:r>
      <w:r w:rsidRPr="00725F49">
        <w:rPr>
          <w:rFonts w:ascii="Cambria" w:eastAsia="Cambria" w:hAnsi="Cambria" w:cs="Cambria"/>
          <w:bCs/>
          <w:lang w:val="en-US" w:bidi="en-US"/>
        </w:rPr>
        <w:t xml:space="preserve"> 769).</w:t>
      </w:r>
    </w:p>
    <w:p w:rsidR="007F5C6A" w:rsidRPr="007F5C6A" w:rsidRDefault="007F5C6A" w:rsidP="00A73614">
      <w:pPr>
        <w:widowControl w:val="0"/>
        <w:autoSpaceDE w:val="0"/>
        <w:autoSpaceDN w:val="0"/>
        <w:spacing w:after="0" w:line="240" w:lineRule="auto"/>
        <w:ind w:left="499" w:right="96"/>
        <w:jc w:val="both"/>
        <w:outlineLvl w:val="0"/>
        <w:rPr>
          <w:rFonts w:ascii="Cambria" w:eastAsia="Cambria" w:hAnsi="Cambria" w:cs="Cambria"/>
          <w:bCs/>
          <w:sz w:val="24"/>
          <w:szCs w:val="24"/>
          <w:lang w:val="en-US" w:bidi="en-US"/>
        </w:rPr>
      </w:pPr>
    </w:p>
    <w:p w:rsidR="001F221F" w:rsidRPr="001F221F" w:rsidRDefault="001F221F" w:rsidP="00FE04DC">
      <w:pPr>
        <w:pStyle w:val="ListParagraph"/>
        <w:widowControl w:val="0"/>
        <w:numPr>
          <w:ilvl w:val="0"/>
          <w:numId w:val="13"/>
        </w:numPr>
        <w:autoSpaceDE w:val="0"/>
        <w:autoSpaceDN w:val="0"/>
        <w:rPr>
          <w:rFonts w:ascii="Cambria" w:eastAsia="Cambria" w:hAnsi="Cambria" w:cs="Cambria"/>
          <w:bCs/>
          <w:color w:val="000000" w:themeColor="text1"/>
          <w:lang w:bidi="en-US"/>
        </w:rPr>
      </w:pPr>
      <w:r w:rsidRPr="001F221F">
        <w:rPr>
          <w:rFonts w:ascii="Cambria" w:eastAsia="Cambria" w:hAnsi="Cambria" w:cs="Cambria"/>
          <w:bCs/>
          <w:color w:val="000000" w:themeColor="text1"/>
          <w:lang w:bidi="en-US"/>
        </w:rPr>
        <w:t xml:space="preserve">In line with the Electronic Communications Regulations, 2011 (L.I 1991), the DRC is </w:t>
      </w:r>
      <w:r>
        <w:rPr>
          <w:rFonts w:ascii="Cambria" w:eastAsia="Cambria" w:hAnsi="Cambria" w:cs="Cambria"/>
          <w:bCs/>
          <w:color w:val="000000" w:themeColor="text1"/>
          <w:lang w:bidi="en-US"/>
        </w:rPr>
        <w:t xml:space="preserve">being </w:t>
      </w:r>
      <w:r w:rsidRPr="001F221F">
        <w:rPr>
          <w:rFonts w:ascii="Cambria" w:eastAsia="Cambria" w:hAnsi="Cambria" w:cs="Cambria"/>
          <w:bCs/>
          <w:color w:val="000000" w:themeColor="text1"/>
          <w:lang w:bidi="en-US"/>
        </w:rPr>
        <w:t xml:space="preserve">set up with jurisdiction to settle various disputes: </w:t>
      </w:r>
    </w:p>
    <w:p w:rsidR="001F221F" w:rsidRPr="001F221F" w:rsidRDefault="001F221F" w:rsidP="00FE04DC">
      <w:pPr>
        <w:widowControl w:val="0"/>
        <w:numPr>
          <w:ilvl w:val="0"/>
          <w:numId w:val="2"/>
        </w:numPr>
        <w:autoSpaceDE w:val="0"/>
        <w:autoSpaceDN w:val="0"/>
        <w:spacing w:after="0" w:line="240" w:lineRule="auto"/>
        <w:rPr>
          <w:rFonts w:ascii="Cambria" w:eastAsia="Cambria" w:hAnsi="Cambria" w:cs="Cambria"/>
          <w:bCs/>
          <w:color w:val="000000" w:themeColor="text1"/>
          <w:sz w:val="24"/>
          <w:szCs w:val="24"/>
          <w:lang w:val="de-DE" w:eastAsia="de-DE" w:bidi="en-US"/>
        </w:rPr>
      </w:pPr>
      <w:r w:rsidRPr="001F221F">
        <w:rPr>
          <w:rFonts w:ascii="Cambria" w:eastAsia="Cambria" w:hAnsi="Cambria" w:cs="Cambria"/>
          <w:bCs/>
          <w:color w:val="000000" w:themeColor="text1"/>
          <w:sz w:val="24"/>
          <w:szCs w:val="24"/>
          <w:lang w:val="de-DE" w:eastAsia="de-DE" w:bidi="en-US"/>
        </w:rPr>
        <w:t>among different network operators or service providers;</w:t>
      </w:r>
    </w:p>
    <w:p w:rsidR="001F221F" w:rsidRPr="001F221F" w:rsidRDefault="001F221F" w:rsidP="00FE04DC">
      <w:pPr>
        <w:widowControl w:val="0"/>
        <w:numPr>
          <w:ilvl w:val="0"/>
          <w:numId w:val="2"/>
        </w:numPr>
        <w:autoSpaceDE w:val="0"/>
        <w:autoSpaceDN w:val="0"/>
        <w:spacing w:after="0" w:line="240" w:lineRule="auto"/>
        <w:rPr>
          <w:rFonts w:ascii="Cambria" w:eastAsia="Cambria" w:hAnsi="Cambria" w:cs="Cambria"/>
          <w:bCs/>
          <w:color w:val="000000" w:themeColor="text1"/>
          <w:sz w:val="24"/>
          <w:szCs w:val="24"/>
          <w:lang w:val="de-DE" w:eastAsia="de-DE" w:bidi="en-US"/>
        </w:rPr>
      </w:pPr>
      <w:r w:rsidRPr="001F221F">
        <w:rPr>
          <w:rFonts w:ascii="Cambria" w:eastAsia="Cambria" w:hAnsi="Cambria" w:cs="Cambria"/>
          <w:bCs/>
          <w:color w:val="000000" w:themeColor="text1"/>
          <w:sz w:val="24"/>
          <w:szCs w:val="24"/>
          <w:lang w:val="de-DE" w:eastAsia="de-DE" w:bidi="en-US"/>
        </w:rPr>
        <w:t>between network operators or service providers and a utility provider;</w:t>
      </w:r>
    </w:p>
    <w:p w:rsidR="001F221F" w:rsidRPr="001F221F" w:rsidRDefault="001F221F" w:rsidP="00FE04DC">
      <w:pPr>
        <w:widowControl w:val="0"/>
        <w:numPr>
          <w:ilvl w:val="0"/>
          <w:numId w:val="2"/>
        </w:numPr>
        <w:autoSpaceDE w:val="0"/>
        <w:autoSpaceDN w:val="0"/>
        <w:spacing w:after="0" w:line="240" w:lineRule="auto"/>
        <w:rPr>
          <w:rFonts w:ascii="Cambria" w:eastAsia="Cambria" w:hAnsi="Cambria" w:cs="Cambria"/>
          <w:bCs/>
          <w:color w:val="000000" w:themeColor="text1"/>
          <w:sz w:val="24"/>
          <w:szCs w:val="24"/>
          <w:lang w:val="de-DE" w:eastAsia="de-DE" w:bidi="en-US"/>
        </w:rPr>
      </w:pPr>
      <w:r w:rsidRPr="001F221F">
        <w:rPr>
          <w:rFonts w:ascii="Cambria" w:eastAsia="Cambria" w:hAnsi="Cambria" w:cs="Cambria"/>
          <w:bCs/>
          <w:color w:val="000000" w:themeColor="text1"/>
          <w:sz w:val="24"/>
          <w:szCs w:val="24"/>
          <w:lang w:val="de-DE" w:eastAsia="de-DE" w:bidi="en-US"/>
        </w:rPr>
        <w:t>between a network operator or service provider and a consumer.</w:t>
      </w:r>
    </w:p>
    <w:p w:rsidR="007F5C6A" w:rsidRPr="007F5C6A" w:rsidRDefault="007F5C6A" w:rsidP="00A73614">
      <w:pPr>
        <w:widowControl w:val="0"/>
        <w:autoSpaceDE w:val="0"/>
        <w:autoSpaceDN w:val="0"/>
        <w:spacing w:after="0" w:line="240" w:lineRule="auto"/>
        <w:ind w:left="100"/>
        <w:rPr>
          <w:rFonts w:ascii="Cambria" w:eastAsia="Cambria" w:hAnsi="Cambria" w:cs="Cambria"/>
          <w:bCs/>
          <w:sz w:val="24"/>
          <w:szCs w:val="24"/>
          <w:lang w:val="en-US" w:bidi="en-US"/>
        </w:rPr>
      </w:pPr>
    </w:p>
    <w:p w:rsidR="00D63771" w:rsidRPr="00D63771" w:rsidRDefault="001F221F" w:rsidP="00FE04DC">
      <w:pPr>
        <w:pStyle w:val="ListParagraph"/>
        <w:widowControl w:val="0"/>
        <w:numPr>
          <w:ilvl w:val="0"/>
          <w:numId w:val="13"/>
        </w:numPr>
        <w:autoSpaceDE w:val="0"/>
        <w:autoSpaceDN w:val="0"/>
        <w:ind w:right="96"/>
        <w:outlineLvl w:val="0"/>
        <w:rPr>
          <w:rFonts w:ascii="Cambria" w:eastAsia="Cambria" w:hAnsi="Cambria" w:cs="Cambria"/>
          <w:bCs/>
          <w:lang w:bidi="en-US"/>
        </w:rPr>
      </w:pPr>
      <w:r>
        <w:rPr>
          <w:rFonts w:ascii="Cambria" w:eastAsia="Cambria" w:hAnsi="Cambria" w:cs="Cambria"/>
          <w:bCs/>
          <w:lang w:val="en-US" w:bidi="en-US"/>
        </w:rPr>
        <w:t xml:space="preserve">The User </w:t>
      </w:r>
      <w:r w:rsidR="007F5C6A" w:rsidRPr="00D63771">
        <w:rPr>
          <w:rFonts w:ascii="Cambria" w:eastAsia="Cambria" w:hAnsi="Cambria" w:cs="Cambria"/>
          <w:bCs/>
          <w:lang w:val="en-US" w:bidi="en-US"/>
        </w:rPr>
        <w:t>Guidelines</w:t>
      </w:r>
      <w:r>
        <w:rPr>
          <w:rFonts w:ascii="Cambria" w:eastAsia="Cambria" w:hAnsi="Cambria" w:cs="Cambria"/>
          <w:bCs/>
          <w:lang w:val="en-US" w:bidi="en-US"/>
        </w:rPr>
        <w:t xml:space="preserve"> for the </w:t>
      </w:r>
      <w:r w:rsidR="00C0415C">
        <w:rPr>
          <w:rFonts w:ascii="Cambria" w:eastAsia="Cambria" w:hAnsi="Cambria" w:cs="Cambria"/>
          <w:bCs/>
          <w:lang w:val="en-US" w:bidi="en-US"/>
        </w:rPr>
        <w:t>DRC</w:t>
      </w:r>
      <w:r w:rsidR="007F5C6A" w:rsidRPr="00D63771">
        <w:rPr>
          <w:rFonts w:ascii="Cambria" w:eastAsia="Cambria" w:hAnsi="Cambria" w:cs="Cambria"/>
          <w:bCs/>
          <w:lang w:val="en-US" w:bidi="en-US"/>
        </w:rPr>
        <w:t xml:space="preserve"> </w:t>
      </w:r>
      <w:r w:rsidR="00D63771" w:rsidRPr="00D63771">
        <w:rPr>
          <w:rFonts w:ascii="Cambria" w:eastAsia="Cambria" w:hAnsi="Cambria" w:cs="Cambria"/>
          <w:bCs/>
          <w:lang w:bidi="en-US"/>
        </w:rPr>
        <w:t>serve as a comprehensive guide for all stakeholders in the electronic communications industry and provide</w:t>
      </w:r>
      <w:r w:rsidR="00C0415C">
        <w:rPr>
          <w:rFonts w:ascii="Cambria" w:eastAsia="Cambria" w:hAnsi="Cambria" w:cs="Cambria"/>
          <w:bCs/>
          <w:lang w:bidi="en-US"/>
        </w:rPr>
        <w:t>s</w:t>
      </w:r>
      <w:r w:rsidR="00D63771" w:rsidRPr="00D63771">
        <w:rPr>
          <w:rFonts w:ascii="Cambria" w:eastAsia="Cambria" w:hAnsi="Cambria" w:cs="Cambria"/>
          <w:bCs/>
          <w:lang w:bidi="en-US"/>
        </w:rPr>
        <w:t xml:space="preserve"> them with a practical understanding of the operations of the Committee.</w:t>
      </w:r>
    </w:p>
    <w:p w:rsidR="007F5C6A" w:rsidRPr="00D63771" w:rsidRDefault="007F5C6A" w:rsidP="00D63771">
      <w:pPr>
        <w:pStyle w:val="ListParagraph"/>
        <w:widowControl w:val="0"/>
        <w:autoSpaceDE w:val="0"/>
        <w:autoSpaceDN w:val="0"/>
        <w:ind w:right="96"/>
        <w:outlineLvl w:val="0"/>
        <w:rPr>
          <w:rFonts w:ascii="Cambria" w:eastAsia="Cambria" w:hAnsi="Cambria" w:cs="Cambria"/>
          <w:bCs/>
          <w:lang w:val="en-US" w:bidi="en-US"/>
        </w:rPr>
      </w:pPr>
    </w:p>
    <w:p w:rsidR="007F5C6A" w:rsidRPr="00725F49" w:rsidRDefault="007F5C6A" w:rsidP="00FE04DC">
      <w:pPr>
        <w:pStyle w:val="ListParagraph"/>
        <w:widowControl w:val="0"/>
        <w:numPr>
          <w:ilvl w:val="0"/>
          <w:numId w:val="13"/>
        </w:numPr>
        <w:autoSpaceDE w:val="0"/>
        <w:autoSpaceDN w:val="0"/>
        <w:ind w:right="96"/>
        <w:outlineLvl w:val="0"/>
        <w:rPr>
          <w:rFonts w:ascii="Cambria" w:eastAsia="Cambria" w:hAnsi="Cambria" w:cs="Cambria"/>
          <w:bCs/>
          <w:lang w:val="en-US" w:bidi="en-US"/>
        </w:rPr>
      </w:pPr>
      <w:r w:rsidRPr="00725F49">
        <w:rPr>
          <w:rFonts w:ascii="Cambria" w:eastAsia="Cambria" w:hAnsi="Cambria" w:cs="Cambria"/>
          <w:bCs/>
          <w:lang w:val="en-US" w:bidi="en-US"/>
        </w:rPr>
        <w:t xml:space="preserve">The public consultation begins on </w:t>
      </w:r>
      <w:r w:rsidR="00232D3A" w:rsidRPr="00232D3A">
        <w:rPr>
          <w:rFonts w:ascii="Cambria" w:eastAsia="Cambria" w:hAnsi="Cambria" w:cs="Cambria"/>
          <w:b/>
          <w:bCs/>
          <w:lang w:val="en-US" w:bidi="en-US"/>
        </w:rPr>
        <w:t>20</w:t>
      </w:r>
      <w:r w:rsidR="00232D3A" w:rsidRPr="00232D3A">
        <w:rPr>
          <w:rFonts w:ascii="Cambria" w:eastAsia="Cambria" w:hAnsi="Cambria" w:cs="Cambria"/>
          <w:b/>
          <w:bCs/>
          <w:vertAlign w:val="superscript"/>
          <w:lang w:val="en-US" w:bidi="en-US"/>
        </w:rPr>
        <w:t>th</w:t>
      </w:r>
      <w:r w:rsidR="00232D3A" w:rsidRPr="00232D3A">
        <w:rPr>
          <w:rFonts w:ascii="Cambria" w:eastAsia="Cambria" w:hAnsi="Cambria" w:cs="Cambria"/>
          <w:b/>
          <w:bCs/>
          <w:lang w:val="en-US" w:bidi="en-US"/>
        </w:rPr>
        <w:t xml:space="preserve"> March, 2024</w:t>
      </w:r>
      <w:r w:rsidRPr="00725F49">
        <w:rPr>
          <w:rFonts w:ascii="Cambria" w:eastAsia="Cambria" w:hAnsi="Cambria" w:cs="Cambria"/>
          <w:bCs/>
          <w:lang w:val="en-US" w:bidi="en-US"/>
        </w:rPr>
        <w:t xml:space="preserve"> and shall expire on</w:t>
      </w:r>
      <w:r w:rsidR="00232D3A" w:rsidRPr="00232D3A">
        <w:rPr>
          <w:rFonts w:ascii="Cambria" w:eastAsia="Cambria" w:hAnsi="Cambria" w:cs="Cambria"/>
          <w:b/>
          <w:bCs/>
          <w:lang w:val="en-US" w:bidi="en-US"/>
        </w:rPr>
        <w:t xml:space="preserve"> 24</w:t>
      </w:r>
      <w:r w:rsidR="00232D3A" w:rsidRPr="00232D3A">
        <w:rPr>
          <w:rFonts w:ascii="Cambria" w:eastAsia="Cambria" w:hAnsi="Cambria" w:cs="Cambria"/>
          <w:b/>
          <w:bCs/>
          <w:vertAlign w:val="superscript"/>
          <w:lang w:val="en-US" w:bidi="en-US"/>
        </w:rPr>
        <w:t>th</w:t>
      </w:r>
      <w:r w:rsidR="00232D3A" w:rsidRPr="00232D3A">
        <w:rPr>
          <w:rFonts w:ascii="Cambria" w:eastAsia="Cambria" w:hAnsi="Cambria" w:cs="Cambria"/>
          <w:b/>
          <w:bCs/>
          <w:lang w:val="en-US" w:bidi="en-US"/>
        </w:rPr>
        <w:t xml:space="preserve"> April, 2024</w:t>
      </w:r>
      <w:r w:rsidR="00232D3A">
        <w:rPr>
          <w:rFonts w:ascii="Cambria" w:eastAsia="Cambria" w:hAnsi="Cambria" w:cs="Cambria"/>
          <w:b/>
          <w:bCs/>
          <w:lang w:val="en-US" w:bidi="en-US"/>
        </w:rPr>
        <w:t>.</w:t>
      </w:r>
      <w:bookmarkStart w:id="0" w:name="_GoBack"/>
      <w:bookmarkEnd w:id="0"/>
    </w:p>
    <w:p w:rsidR="007F5C6A" w:rsidRPr="007F5C6A" w:rsidRDefault="007F5C6A" w:rsidP="00A73614">
      <w:pPr>
        <w:widowControl w:val="0"/>
        <w:autoSpaceDE w:val="0"/>
        <w:autoSpaceDN w:val="0"/>
        <w:spacing w:after="0" w:line="240" w:lineRule="auto"/>
        <w:ind w:right="96"/>
        <w:jc w:val="both"/>
        <w:outlineLvl w:val="0"/>
        <w:rPr>
          <w:rFonts w:ascii="Cambria" w:eastAsia="Cambria" w:hAnsi="Cambria" w:cs="Cambria"/>
          <w:bCs/>
          <w:sz w:val="24"/>
          <w:szCs w:val="24"/>
          <w:lang w:val="en-US" w:bidi="en-US"/>
        </w:rPr>
      </w:pPr>
    </w:p>
    <w:p w:rsidR="007F5C6A" w:rsidRPr="00725F49" w:rsidRDefault="007F5C6A" w:rsidP="00FE04DC">
      <w:pPr>
        <w:pStyle w:val="ListParagraph"/>
        <w:widowControl w:val="0"/>
        <w:numPr>
          <w:ilvl w:val="0"/>
          <w:numId w:val="13"/>
        </w:numPr>
        <w:autoSpaceDE w:val="0"/>
        <w:autoSpaceDN w:val="0"/>
        <w:ind w:right="96"/>
        <w:outlineLvl w:val="0"/>
        <w:rPr>
          <w:rFonts w:ascii="Cambria" w:eastAsia="Cambria" w:hAnsi="Cambria" w:cs="Cambria"/>
          <w:bCs/>
          <w:lang w:val="en-US" w:bidi="en-US"/>
        </w:rPr>
      </w:pPr>
      <w:r w:rsidRPr="00725F49">
        <w:rPr>
          <w:rFonts w:ascii="Cambria" w:eastAsia="Cambria" w:hAnsi="Cambria" w:cs="Cambria"/>
          <w:bCs/>
          <w:lang w:val="en-US" w:bidi="en-US"/>
        </w:rPr>
        <w:t xml:space="preserve">All responses/comments should be electronically transmitted as e-mail attachments, in Microsoft Word format to </w:t>
      </w:r>
      <w:r w:rsidRPr="00725F49">
        <w:rPr>
          <w:rFonts w:ascii="Cambria" w:eastAsia="Cambria" w:hAnsi="Cambria" w:cs="Cambria"/>
          <w:bCs/>
          <w:color w:val="2E74B5" w:themeColor="accent1" w:themeShade="BF"/>
          <w:u w:val="single"/>
          <w:lang w:val="en-US" w:bidi="en-US"/>
        </w:rPr>
        <w:t>info@nca.org.gh</w:t>
      </w:r>
      <w:r w:rsidR="003D08AF" w:rsidRPr="00725F49">
        <w:rPr>
          <w:rFonts w:ascii="Cambria" w:eastAsia="Cambria" w:hAnsi="Cambria" w:cs="Cambria"/>
          <w:bCs/>
          <w:color w:val="2E74B5" w:themeColor="accent1" w:themeShade="BF"/>
          <w:u w:val="single"/>
          <w:lang w:val="en-US" w:bidi="en-US"/>
        </w:rPr>
        <w:t>.</w:t>
      </w:r>
    </w:p>
    <w:p w:rsidR="007F5C6A" w:rsidRPr="007F5C6A" w:rsidRDefault="007F5C6A" w:rsidP="00A73614">
      <w:pPr>
        <w:widowControl w:val="0"/>
        <w:autoSpaceDE w:val="0"/>
        <w:autoSpaceDN w:val="0"/>
        <w:spacing w:after="0" w:line="240" w:lineRule="auto"/>
        <w:ind w:right="96"/>
        <w:jc w:val="both"/>
        <w:outlineLvl w:val="0"/>
        <w:rPr>
          <w:rFonts w:ascii="Cambria" w:eastAsia="Cambria" w:hAnsi="Cambria" w:cs="Cambria"/>
          <w:bCs/>
          <w:sz w:val="24"/>
          <w:szCs w:val="24"/>
          <w:lang w:val="en-US" w:bidi="en-US"/>
        </w:rPr>
      </w:pPr>
    </w:p>
    <w:p w:rsidR="007F5C6A" w:rsidRPr="00725F49" w:rsidRDefault="007F5C6A" w:rsidP="00FE04DC">
      <w:pPr>
        <w:pStyle w:val="ListParagraph"/>
        <w:widowControl w:val="0"/>
        <w:numPr>
          <w:ilvl w:val="0"/>
          <w:numId w:val="13"/>
        </w:numPr>
        <w:autoSpaceDE w:val="0"/>
        <w:autoSpaceDN w:val="0"/>
        <w:ind w:right="96"/>
        <w:outlineLvl w:val="0"/>
        <w:rPr>
          <w:rFonts w:ascii="Cambria" w:eastAsia="Cambria" w:hAnsi="Cambria" w:cs="Cambria"/>
          <w:bCs/>
          <w:lang w:val="en-US" w:bidi="en-US"/>
        </w:rPr>
      </w:pPr>
      <w:r w:rsidRPr="00725F49">
        <w:rPr>
          <w:rFonts w:ascii="Cambria" w:eastAsia="Cambria" w:hAnsi="Cambria" w:cs="Cambria"/>
          <w:bCs/>
          <w:lang w:val="en-US" w:bidi="en-US"/>
        </w:rPr>
        <w:t xml:space="preserve">All respondents are requested to complete a response cover sheet </w:t>
      </w:r>
      <w:r w:rsidRPr="00C0415C">
        <w:rPr>
          <w:rFonts w:ascii="Cambria" w:eastAsia="Cambria" w:hAnsi="Cambria" w:cs="Cambria"/>
          <w:bCs/>
          <w:color w:val="000000" w:themeColor="text1"/>
          <w:lang w:val="en-US" w:bidi="en-US"/>
        </w:rPr>
        <w:t>(see Page</w:t>
      </w:r>
      <w:r w:rsidR="00C0415C">
        <w:rPr>
          <w:rFonts w:ascii="Cambria" w:eastAsia="Cambria" w:hAnsi="Cambria" w:cs="Cambria"/>
          <w:bCs/>
          <w:color w:val="000000" w:themeColor="text1"/>
          <w:lang w:val="en-US" w:bidi="en-US"/>
        </w:rPr>
        <w:t>s ii and</w:t>
      </w:r>
      <w:r w:rsidRPr="00C0415C">
        <w:rPr>
          <w:rFonts w:ascii="Cambria" w:eastAsia="Cambria" w:hAnsi="Cambria" w:cs="Cambria"/>
          <w:bCs/>
          <w:color w:val="000000" w:themeColor="text1"/>
          <w:lang w:val="en-US" w:bidi="en-US"/>
        </w:rPr>
        <w:t xml:space="preserve"> iii).</w:t>
      </w:r>
    </w:p>
    <w:p w:rsidR="007F5C6A" w:rsidRPr="007F5C6A" w:rsidRDefault="007F5C6A" w:rsidP="00A73614">
      <w:pPr>
        <w:widowControl w:val="0"/>
        <w:autoSpaceDE w:val="0"/>
        <w:autoSpaceDN w:val="0"/>
        <w:spacing w:after="0" w:line="240" w:lineRule="auto"/>
        <w:ind w:right="96"/>
        <w:jc w:val="both"/>
        <w:outlineLvl w:val="0"/>
        <w:rPr>
          <w:rFonts w:ascii="Cambria" w:eastAsia="Cambria" w:hAnsi="Cambria" w:cs="Cambria"/>
          <w:bCs/>
          <w:sz w:val="24"/>
          <w:szCs w:val="24"/>
          <w:lang w:val="en-US" w:bidi="en-US"/>
        </w:rPr>
      </w:pPr>
    </w:p>
    <w:p w:rsidR="007F5C6A" w:rsidRPr="00725F49" w:rsidRDefault="007F5C6A" w:rsidP="00FE04DC">
      <w:pPr>
        <w:pStyle w:val="ListParagraph"/>
        <w:widowControl w:val="0"/>
        <w:numPr>
          <w:ilvl w:val="0"/>
          <w:numId w:val="13"/>
        </w:numPr>
        <w:autoSpaceDE w:val="0"/>
        <w:autoSpaceDN w:val="0"/>
        <w:ind w:right="96"/>
        <w:outlineLvl w:val="0"/>
        <w:rPr>
          <w:rFonts w:ascii="Cambria" w:eastAsia="Cambria" w:hAnsi="Cambria" w:cs="Cambria"/>
          <w:bCs/>
          <w:lang w:val="en-US" w:bidi="en-US"/>
        </w:rPr>
      </w:pPr>
      <w:r w:rsidRPr="00725F49">
        <w:rPr>
          <w:rFonts w:ascii="Cambria" w:eastAsia="Cambria" w:hAnsi="Cambria" w:cs="Cambria"/>
          <w:bCs/>
          <w:lang w:val="en-US" w:bidi="en-US"/>
        </w:rPr>
        <w:t>In furtherance of transparency and openness, the Authority shall consider all responses as non-confidential.</w:t>
      </w:r>
    </w:p>
    <w:p w:rsidR="007F5C6A" w:rsidRPr="007F5C6A" w:rsidRDefault="007F5C6A" w:rsidP="00A73614">
      <w:pPr>
        <w:widowControl w:val="0"/>
        <w:autoSpaceDE w:val="0"/>
        <w:autoSpaceDN w:val="0"/>
        <w:spacing w:after="0" w:line="240" w:lineRule="auto"/>
        <w:ind w:right="96"/>
        <w:jc w:val="both"/>
        <w:outlineLvl w:val="0"/>
        <w:rPr>
          <w:rFonts w:ascii="Cambria" w:eastAsia="Cambria" w:hAnsi="Cambria" w:cs="Cambria"/>
          <w:bCs/>
          <w:sz w:val="24"/>
          <w:szCs w:val="24"/>
          <w:lang w:val="en-US" w:bidi="en-US"/>
        </w:rPr>
      </w:pPr>
    </w:p>
    <w:p w:rsidR="007F5C6A" w:rsidRPr="00725F49" w:rsidRDefault="007F5C6A" w:rsidP="00FE04DC">
      <w:pPr>
        <w:pStyle w:val="ListParagraph"/>
        <w:widowControl w:val="0"/>
        <w:numPr>
          <w:ilvl w:val="0"/>
          <w:numId w:val="13"/>
        </w:numPr>
        <w:autoSpaceDE w:val="0"/>
        <w:autoSpaceDN w:val="0"/>
        <w:ind w:right="96"/>
        <w:outlineLvl w:val="0"/>
        <w:rPr>
          <w:rFonts w:ascii="Cambria" w:eastAsia="Cambria" w:hAnsi="Cambria" w:cs="Cambria"/>
          <w:bCs/>
          <w:lang w:val="en-US" w:bidi="en-US"/>
        </w:rPr>
      </w:pPr>
      <w:r w:rsidRPr="00725F49">
        <w:rPr>
          <w:rFonts w:ascii="Cambria" w:eastAsia="Cambria" w:hAnsi="Cambria" w:cs="Cambria"/>
          <w:bCs/>
          <w:lang w:val="en-US" w:bidi="en-US"/>
        </w:rPr>
        <w:t xml:space="preserve">Subsequent to the completion of the Public Consultation, the Authority shall proceed to publish the </w:t>
      </w:r>
      <w:r w:rsidR="00C0415C" w:rsidRPr="00C0415C">
        <w:rPr>
          <w:rFonts w:ascii="Cambria" w:eastAsia="Cambria" w:hAnsi="Cambria" w:cs="Cambria"/>
          <w:bCs/>
          <w:lang w:val="en-US" w:bidi="en-US"/>
        </w:rPr>
        <w:t>Dispute Resolution Committee (DRC) User Guidelines</w:t>
      </w:r>
      <w:r w:rsidRPr="00725F49">
        <w:rPr>
          <w:rFonts w:ascii="Cambria" w:eastAsia="Cambria" w:hAnsi="Cambria" w:cs="Cambria"/>
          <w:bCs/>
          <w:lang w:val="en-US" w:bidi="en-US"/>
        </w:rPr>
        <w:t>.</w:t>
      </w:r>
    </w:p>
    <w:p w:rsidR="007F5C6A" w:rsidRPr="007F5C6A" w:rsidRDefault="007F5C6A" w:rsidP="00725F49">
      <w:pPr>
        <w:widowControl w:val="0"/>
        <w:tabs>
          <w:tab w:val="left" w:pos="2160"/>
        </w:tabs>
        <w:autoSpaceDE w:val="0"/>
        <w:autoSpaceDN w:val="0"/>
        <w:spacing w:before="81" w:after="0" w:line="240" w:lineRule="auto"/>
        <w:ind w:right="-188" w:firstLine="2160"/>
        <w:jc w:val="both"/>
        <w:outlineLvl w:val="0"/>
        <w:rPr>
          <w:rFonts w:ascii="Cambria" w:eastAsia="Cambria" w:hAnsi="Cambria" w:cs="Cambria"/>
          <w:bCs/>
          <w:sz w:val="24"/>
          <w:szCs w:val="24"/>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69511B" w:rsidRDefault="0069511B"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9D6896" w:rsidRDefault="009D6896"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C0415C" w:rsidRDefault="00C0415C"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C0415C" w:rsidRDefault="00C0415C"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p>
    <w:p w:rsidR="007F5C6A" w:rsidRPr="007F5C6A" w:rsidRDefault="007F5C6A" w:rsidP="007F5C6A">
      <w:pPr>
        <w:widowControl w:val="0"/>
        <w:autoSpaceDE w:val="0"/>
        <w:autoSpaceDN w:val="0"/>
        <w:spacing w:before="81" w:after="0" w:line="240" w:lineRule="auto"/>
        <w:ind w:right="-188"/>
        <w:jc w:val="center"/>
        <w:outlineLvl w:val="0"/>
        <w:rPr>
          <w:rFonts w:ascii="Cambria" w:eastAsia="Cambria" w:hAnsi="Cambria" w:cs="Cambria"/>
          <w:b/>
          <w:bCs/>
          <w:sz w:val="26"/>
          <w:szCs w:val="26"/>
          <w:lang w:val="en-US" w:bidi="en-US"/>
        </w:rPr>
      </w:pPr>
      <w:r w:rsidRPr="007F5C6A">
        <w:rPr>
          <w:rFonts w:ascii="Cambria" w:eastAsia="Cambria" w:hAnsi="Cambria" w:cs="Cambria"/>
          <w:b/>
          <w:bCs/>
          <w:sz w:val="26"/>
          <w:szCs w:val="26"/>
          <w:lang w:val="en-US" w:bidi="en-US"/>
        </w:rPr>
        <w:t xml:space="preserve">COVER SHEET FOR RESPONSE TO NCA PUBLIC CONSULTATION ON </w:t>
      </w:r>
      <w:r w:rsidR="009D6896">
        <w:rPr>
          <w:rFonts w:ascii="Cambria" w:eastAsia="Cambria" w:hAnsi="Cambria" w:cs="Cambria"/>
          <w:b/>
          <w:bCs/>
          <w:sz w:val="26"/>
          <w:szCs w:val="26"/>
          <w:lang w:bidi="en-US"/>
        </w:rPr>
        <w:t>DISPUTE RESOLUTION COMMITTEE USER GUIDELINES</w:t>
      </w:r>
    </w:p>
    <w:p w:rsidR="007F5C6A" w:rsidRPr="007F5C6A" w:rsidRDefault="007F5C6A" w:rsidP="007F5C6A">
      <w:pPr>
        <w:widowControl w:val="0"/>
        <w:autoSpaceDE w:val="0"/>
        <w:autoSpaceDN w:val="0"/>
        <w:spacing w:before="81" w:after="0" w:line="240" w:lineRule="auto"/>
        <w:ind w:right="-188"/>
        <w:jc w:val="center"/>
        <w:outlineLvl w:val="0"/>
        <w:rPr>
          <w:rFonts w:ascii="Cambria" w:eastAsia="Cambria" w:hAnsi="Cambria" w:cs="Cambria"/>
          <w:b/>
          <w:bCs/>
          <w:sz w:val="28"/>
          <w:szCs w:val="28"/>
          <w:lang w:val="en-US" w:bidi="en-US"/>
        </w:rPr>
      </w:pPr>
    </w:p>
    <w:p w:rsidR="007F5C6A" w:rsidRPr="007F5C6A" w:rsidRDefault="007F5C6A" w:rsidP="007F5C6A">
      <w:pPr>
        <w:widowControl w:val="0"/>
        <w:autoSpaceDE w:val="0"/>
        <w:autoSpaceDN w:val="0"/>
        <w:spacing w:before="81" w:after="0" w:line="240" w:lineRule="auto"/>
        <w:ind w:left="1122" w:right="1541"/>
        <w:jc w:val="center"/>
        <w:outlineLvl w:val="0"/>
        <w:rPr>
          <w:rFonts w:ascii="Cambria" w:eastAsia="Cambria" w:hAnsi="Cambria" w:cs="Cambria"/>
          <w:b/>
          <w:bCs/>
          <w:sz w:val="28"/>
          <w:szCs w:val="28"/>
          <w:lang w:val="en-US"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F5C6A" w:rsidRPr="007F5C6A" w:rsidTr="007A5686">
        <w:trPr>
          <w:jc w:val="center"/>
        </w:trPr>
        <w:tc>
          <w:tcPr>
            <w:tcW w:w="9576" w:type="dxa"/>
          </w:tcPr>
          <w:p w:rsidR="007F5C6A" w:rsidRPr="007F5C6A" w:rsidRDefault="007F5C6A" w:rsidP="007F5C6A">
            <w:pPr>
              <w:widowControl w:val="0"/>
              <w:autoSpaceDE w:val="0"/>
              <w:autoSpaceDN w:val="0"/>
              <w:adjustRightInd w:val="0"/>
              <w:spacing w:after="0" w:line="240" w:lineRule="auto"/>
              <w:rPr>
                <w:rFonts w:ascii="Cambria" w:eastAsia="Times New Roman" w:hAnsi="Cambria" w:cs="Arial"/>
                <w:b/>
                <w:bCs/>
                <w:color w:val="5B9BD5" w:themeColor="accent1"/>
                <w:sz w:val="24"/>
                <w:szCs w:val="24"/>
                <w:lang w:val="en-US" w:bidi="en-US"/>
              </w:rPr>
            </w:pPr>
            <w:r w:rsidRPr="007F5C6A">
              <w:rPr>
                <w:rFonts w:ascii="Cambria" w:eastAsia="Times New Roman" w:hAnsi="Cambria" w:cs="Arial"/>
                <w:b/>
                <w:bCs/>
                <w:color w:val="5B9BD5" w:themeColor="accent1"/>
                <w:sz w:val="24"/>
                <w:szCs w:val="24"/>
                <w:lang w:val="en-US" w:bidi="en-US"/>
              </w:rPr>
              <w:t>BASIC DETAILS</w:t>
            </w: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r w:rsidRPr="007F5C6A">
              <w:rPr>
                <w:rFonts w:ascii="Cambria" w:eastAsia="Times New Roman" w:hAnsi="Cambria" w:cs="Arial"/>
                <w:color w:val="000000"/>
                <w:sz w:val="24"/>
                <w:szCs w:val="24"/>
                <w:lang w:val="en-US" w:bidi="en-US"/>
              </w:rPr>
              <w:t>Name of respondent:</w:t>
            </w: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r w:rsidRPr="007F5C6A">
              <w:rPr>
                <w:rFonts w:ascii="Cambria" w:eastAsia="Times New Roman" w:hAnsi="Cambria" w:cs="Arial"/>
                <w:color w:val="000000"/>
                <w:sz w:val="24"/>
                <w:szCs w:val="24"/>
                <w:lang w:val="en-US" w:bidi="en-US"/>
              </w:rPr>
              <w:t xml:space="preserve">Representing (self or </w:t>
            </w:r>
            <w:proofErr w:type="spellStart"/>
            <w:r w:rsidRPr="007F5C6A">
              <w:rPr>
                <w:rFonts w:ascii="Cambria" w:eastAsia="Times New Roman" w:hAnsi="Cambria" w:cs="Arial"/>
                <w:color w:val="000000"/>
                <w:sz w:val="24"/>
                <w:szCs w:val="24"/>
                <w:lang w:val="en-US" w:bidi="en-US"/>
              </w:rPr>
              <w:t>organisation</w:t>
            </w:r>
            <w:proofErr w:type="spellEnd"/>
            <w:r w:rsidRPr="007F5C6A">
              <w:rPr>
                <w:rFonts w:ascii="Cambria" w:eastAsia="Times New Roman" w:hAnsi="Cambria" w:cs="Arial"/>
                <w:color w:val="000000"/>
                <w:sz w:val="24"/>
                <w:szCs w:val="24"/>
                <w:lang w:val="en-US" w:bidi="en-US"/>
              </w:rPr>
              <w:t>/s):</w:t>
            </w: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r w:rsidRPr="007F5C6A">
              <w:rPr>
                <w:rFonts w:ascii="Cambria" w:eastAsia="Times New Roman" w:hAnsi="Cambria" w:cs="Arial"/>
                <w:color w:val="000000"/>
                <w:sz w:val="24"/>
                <w:szCs w:val="24"/>
                <w:lang w:val="en-US" w:bidi="en-US"/>
              </w:rPr>
              <w:t>Address:</w:t>
            </w:r>
          </w:p>
          <w:p w:rsid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p>
          <w:p w:rsid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p>
          <w:p w:rsidR="007F5C6A" w:rsidRPr="007F5C6A" w:rsidRDefault="007F5C6A" w:rsidP="007F5C6A">
            <w:pPr>
              <w:widowControl w:val="0"/>
              <w:autoSpaceDE w:val="0"/>
              <w:autoSpaceDN w:val="0"/>
              <w:adjustRightInd w:val="0"/>
              <w:spacing w:after="0" w:line="360" w:lineRule="auto"/>
              <w:rPr>
                <w:rFonts w:ascii="Cambria" w:eastAsia="Times New Roman" w:hAnsi="Cambria" w:cs="Arial"/>
                <w:color w:val="000000"/>
                <w:sz w:val="24"/>
                <w:szCs w:val="24"/>
                <w:lang w:val="en-US" w:bidi="en-US"/>
              </w:rPr>
            </w:pPr>
          </w:p>
        </w:tc>
      </w:tr>
      <w:tr w:rsidR="007F5C6A" w:rsidRPr="007F5C6A" w:rsidTr="007A5686">
        <w:trPr>
          <w:jc w:val="center"/>
        </w:trPr>
        <w:tc>
          <w:tcPr>
            <w:tcW w:w="9576" w:type="dxa"/>
          </w:tcPr>
          <w:p w:rsidR="007F5C6A" w:rsidRPr="007F5C6A" w:rsidRDefault="007F5C6A" w:rsidP="007F5C6A">
            <w:pPr>
              <w:widowControl w:val="0"/>
              <w:autoSpaceDE w:val="0"/>
              <w:autoSpaceDN w:val="0"/>
              <w:adjustRightInd w:val="0"/>
              <w:spacing w:after="0" w:line="240" w:lineRule="auto"/>
              <w:jc w:val="both"/>
              <w:rPr>
                <w:rFonts w:ascii="Cambria" w:eastAsia="Times New Roman" w:hAnsi="Cambria" w:cs="Arial"/>
                <w:b/>
                <w:bCs/>
                <w:color w:val="5B9BD5" w:themeColor="accent1"/>
                <w:sz w:val="24"/>
                <w:szCs w:val="24"/>
                <w:lang w:val="en-US" w:bidi="en-US"/>
              </w:rPr>
            </w:pPr>
            <w:r w:rsidRPr="007F5C6A">
              <w:rPr>
                <w:rFonts w:ascii="Cambria" w:eastAsia="Times New Roman" w:hAnsi="Cambria" w:cs="Arial"/>
                <w:b/>
                <w:bCs/>
                <w:color w:val="5B9BD5" w:themeColor="accent1"/>
                <w:sz w:val="24"/>
                <w:szCs w:val="24"/>
                <w:lang w:val="en-US" w:bidi="en-US"/>
              </w:rPr>
              <w:t>DECLARATION</w:t>
            </w:r>
          </w:p>
          <w:p w:rsidR="007F5C6A" w:rsidRPr="007F5C6A" w:rsidRDefault="007F5C6A" w:rsidP="007F5C6A">
            <w:pPr>
              <w:widowControl w:val="0"/>
              <w:autoSpaceDE w:val="0"/>
              <w:autoSpaceDN w:val="0"/>
              <w:adjustRightInd w:val="0"/>
              <w:spacing w:after="0" w:line="240" w:lineRule="auto"/>
              <w:jc w:val="both"/>
              <w:rPr>
                <w:rFonts w:ascii="Cambria" w:eastAsia="Times New Roman" w:hAnsi="Cambria" w:cs="Arial"/>
                <w:color w:val="000000"/>
                <w:sz w:val="24"/>
                <w:szCs w:val="24"/>
                <w:lang w:val="en-US" w:bidi="en-US"/>
              </w:rPr>
            </w:pPr>
            <w:r w:rsidRPr="007F5C6A">
              <w:rPr>
                <w:rFonts w:ascii="Cambria" w:eastAsia="Times New Roman" w:hAnsi="Cambria" w:cs="Arial"/>
                <w:color w:val="000000"/>
                <w:sz w:val="24"/>
                <w:szCs w:val="24"/>
                <w:lang w:val="en-US" w:bidi="en-US"/>
              </w:rPr>
              <w:t xml:space="preserve">I confirm that the correspondence supplied with this cover sheet is a formal consultation response. It can be published in full on NCA’s website, and I </w:t>
            </w:r>
            <w:proofErr w:type="spellStart"/>
            <w:r w:rsidRPr="007F5C6A">
              <w:rPr>
                <w:rFonts w:ascii="Cambria" w:eastAsia="Times New Roman" w:hAnsi="Cambria" w:cs="Arial"/>
                <w:color w:val="000000"/>
                <w:sz w:val="24"/>
                <w:szCs w:val="24"/>
                <w:lang w:val="en-US" w:bidi="en-US"/>
              </w:rPr>
              <w:t>authorise</w:t>
            </w:r>
            <w:proofErr w:type="spellEnd"/>
            <w:r w:rsidRPr="007F5C6A">
              <w:rPr>
                <w:rFonts w:ascii="Cambria" w:eastAsia="Times New Roman" w:hAnsi="Cambria" w:cs="Arial"/>
                <w:color w:val="000000"/>
                <w:sz w:val="24"/>
                <w:szCs w:val="24"/>
                <w:lang w:val="en-US" w:bidi="en-US"/>
              </w:rPr>
              <w:t xml:space="preserve"> NCA to make use of the information in this response to meet its legal requirements. If I have sent my response by e-mail, NCA can disregard any standard e-mail text about not disclosing e-mail contents and attachments.</w:t>
            </w:r>
          </w:p>
          <w:p w:rsidR="007F5C6A" w:rsidRPr="007F5C6A" w:rsidRDefault="007F5C6A" w:rsidP="007F5C6A">
            <w:pPr>
              <w:widowControl w:val="0"/>
              <w:autoSpaceDE w:val="0"/>
              <w:autoSpaceDN w:val="0"/>
              <w:spacing w:after="0" w:line="240" w:lineRule="auto"/>
              <w:jc w:val="both"/>
              <w:rPr>
                <w:rFonts w:ascii="Cambria" w:eastAsia="Times New Roman" w:hAnsi="Cambria" w:cs="Arial"/>
                <w:color w:val="000000"/>
                <w:sz w:val="24"/>
                <w:szCs w:val="24"/>
                <w:lang w:val="en-US" w:bidi="en-US"/>
              </w:rPr>
            </w:pPr>
          </w:p>
          <w:p w:rsidR="007F5C6A" w:rsidRPr="007F5C6A" w:rsidRDefault="007F5C6A" w:rsidP="007F5C6A">
            <w:pPr>
              <w:widowControl w:val="0"/>
              <w:autoSpaceDE w:val="0"/>
              <w:autoSpaceDN w:val="0"/>
              <w:spacing w:after="0" w:line="240" w:lineRule="auto"/>
              <w:jc w:val="both"/>
              <w:rPr>
                <w:rFonts w:ascii="Cambria" w:eastAsia="Times New Roman" w:hAnsi="Cambria" w:cs="Arial"/>
                <w:b/>
                <w:bCs/>
                <w:color w:val="CD0033"/>
                <w:sz w:val="24"/>
                <w:szCs w:val="24"/>
                <w:lang w:val="en-US" w:bidi="en-US"/>
              </w:rPr>
            </w:pPr>
            <w:r w:rsidRPr="007F5C6A">
              <w:rPr>
                <w:rFonts w:ascii="Cambria" w:eastAsia="Times New Roman" w:hAnsi="Cambria" w:cs="Arial"/>
                <w:color w:val="000000"/>
                <w:sz w:val="24"/>
                <w:szCs w:val="24"/>
                <w:lang w:val="en-US" w:bidi="en-US"/>
              </w:rPr>
              <w:t>Name :</w:t>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r>
            <w:r w:rsidRPr="007F5C6A">
              <w:rPr>
                <w:rFonts w:ascii="Cambria" w:eastAsia="Times New Roman" w:hAnsi="Cambria" w:cs="Arial"/>
                <w:color w:val="000000"/>
                <w:sz w:val="24"/>
                <w:szCs w:val="24"/>
                <w:lang w:val="en-US" w:bidi="en-US"/>
              </w:rPr>
              <w:tab/>
              <w:t>Signed (if hard copy)</w:t>
            </w:r>
          </w:p>
        </w:tc>
      </w:tr>
    </w:tbl>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rPr>
          <w:rFonts w:ascii="Cambria" w:eastAsia="Cambria" w:hAnsi="Cambria" w:cs="Cambria"/>
          <w:lang w:val="en-US" w:bidi="en-US"/>
        </w:rPr>
      </w:pPr>
    </w:p>
    <w:p w:rsidR="007F5C6A" w:rsidRPr="007F5C6A" w:rsidRDefault="007F5C6A" w:rsidP="007F5C6A">
      <w:pPr>
        <w:widowControl w:val="0"/>
        <w:autoSpaceDE w:val="0"/>
        <w:autoSpaceDN w:val="0"/>
        <w:spacing w:after="0" w:line="240" w:lineRule="auto"/>
        <w:jc w:val="center"/>
        <w:rPr>
          <w:rFonts w:ascii="Cambria" w:eastAsia="Georgia" w:hAnsi="Cambria" w:cs="Georgia"/>
          <w:b/>
          <w:bCs/>
          <w:sz w:val="26"/>
          <w:szCs w:val="26"/>
          <w:lang w:val="en-US"/>
        </w:rPr>
      </w:pPr>
      <w:r w:rsidRPr="007F5C6A">
        <w:rPr>
          <w:rFonts w:ascii="Cambria" w:eastAsia="Georgia" w:hAnsi="Cambria" w:cs="Georgia"/>
          <w:b/>
          <w:bCs/>
          <w:sz w:val="26"/>
          <w:szCs w:val="26"/>
          <w:lang w:val="en-US"/>
        </w:rPr>
        <w:lastRenderedPageBreak/>
        <w:t>FORMAT FOR COMMENTING ON THE DOCUMENT</w:t>
      </w:r>
    </w:p>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6"/>
          <w:szCs w:val="26"/>
          <w:lang w:val="en-U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949"/>
        <w:gridCol w:w="1565"/>
        <w:gridCol w:w="1527"/>
        <w:gridCol w:w="2974"/>
      </w:tblGrid>
      <w:tr w:rsidR="007F5C6A" w:rsidRPr="007F5C6A" w:rsidTr="007F5C6A">
        <w:trPr>
          <w:trHeight w:val="1070"/>
        </w:trPr>
        <w:tc>
          <w:tcPr>
            <w:tcW w:w="1795" w:type="dxa"/>
          </w:tcPr>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4"/>
                <w:szCs w:val="24"/>
                <w:lang w:val="en-US"/>
              </w:rPr>
            </w:pPr>
            <w:r w:rsidRPr="007F5C6A">
              <w:rPr>
                <w:rFonts w:ascii="Cambria" w:eastAsia="Georgia" w:hAnsi="Cambria" w:cs="Georgia"/>
                <w:b/>
                <w:bCs/>
                <w:sz w:val="24"/>
                <w:szCs w:val="24"/>
                <w:lang w:val="en-US"/>
              </w:rPr>
              <w:t>Chapter/Part Number</w:t>
            </w:r>
          </w:p>
        </w:tc>
        <w:tc>
          <w:tcPr>
            <w:tcW w:w="1949" w:type="dxa"/>
          </w:tcPr>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4"/>
                <w:szCs w:val="24"/>
                <w:lang w:val="en-US"/>
              </w:rPr>
            </w:pPr>
            <w:r w:rsidRPr="007F5C6A">
              <w:rPr>
                <w:rFonts w:ascii="Cambria" w:eastAsia="Georgia" w:hAnsi="Cambria" w:cs="Georgia"/>
                <w:b/>
                <w:bCs/>
                <w:sz w:val="24"/>
                <w:szCs w:val="24"/>
                <w:lang w:val="en-US"/>
              </w:rPr>
              <w:t>Section Number</w:t>
            </w:r>
          </w:p>
        </w:tc>
        <w:tc>
          <w:tcPr>
            <w:tcW w:w="1565" w:type="dxa"/>
          </w:tcPr>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4"/>
                <w:szCs w:val="24"/>
                <w:lang w:val="en-US"/>
              </w:rPr>
            </w:pPr>
            <w:r w:rsidRPr="007F5C6A">
              <w:rPr>
                <w:rFonts w:ascii="Cambria" w:eastAsia="Georgia" w:hAnsi="Cambria" w:cs="Georgia"/>
                <w:b/>
                <w:bCs/>
                <w:sz w:val="24"/>
                <w:szCs w:val="24"/>
                <w:lang w:val="en-US"/>
              </w:rPr>
              <w:t>Heading</w:t>
            </w:r>
          </w:p>
        </w:tc>
        <w:tc>
          <w:tcPr>
            <w:tcW w:w="1527" w:type="dxa"/>
          </w:tcPr>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4"/>
                <w:szCs w:val="24"/>
                <w:lang w:val="en-US"/>
              </w:rPr>
            </w:pPr>
            <w:r w:rsidRPr="007F5C6A">
              <w:rPr>
                <w:rFonts w:ascii="Cambria" w:eastAsia="Georgia" w:hAnsi="Cambria" w:cs="Georgia"/>
                <w:b/>
                <w:bCs/>
                <w:sz w:val="24"/>
                <w:szCs w:val="24"/>
                <w:lang w:val="en-US"/>
              </w:rPr>
              <w:t>Comment</w:t>
            </w:r>
          </w:p>
        </w:tc>
        <w:tc>
          <w:tcPr>
            <w:tcW w:w="2974" w:type="dxa"/>
          </w:tcPr>
          <w:p w:rsidR="007F5C6A" w:rsidRPr="007F5C6A" w:rsidRDefault="007F5C6A" w:rsidP="007F5C6A">
            <w:pPr>
              <w:widowControl w:val="0"/>
              <w:autoSpaceDE w:val="0"/>
              <w:autoSpaceDN w:val="0"/>
              <w:spacing w:after="0" w:line="240" w:lineRule="auto"/>
              <w:ind w:left="219"/>
              <w:outlineLvl w:val="0"/>
              <w:rPr>
                <w:rFonts w:ascii="Cambria" w:eastAsia="Georgia" w:hAnsi="Cambria" w:cs="Georgia"/>
                <w:b/>
                <w:bCs/>
                <w:sz w:val="24"/>
                <w:szCs w:val="24"/>
                <w:lang w:val="en-US"/>
              </w:rPr>
            </w:pPr>
            <w:r w:rsidRPr="007F5C6A">
              <w:rPr>
                <w:rFonts w:ascii="Cambria" w:eastAsia="Georgia" w:hAnsi="Cambria" w:cs="Georgia"/>
                <w:b/>
                <w:bCs/>
                <w:sz w:val="24"/>
                <w:szCs w:val="24"/>
                <w:lang w:val="en-US"/>
              </w:rPr>
              <w:t>Suggestion / Proposed Amendment</w:t>
            </w:r>
          </w:p>
        </w:tc>
      </w:tr>
      <w:tr w:rsidR="007F5C6A" w:rsidRPr="007F5C6A" w:rsidTr="007F5C6A">
        <w:trPr>
          <w:trHeight w:val="925"/>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26"/>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30"/>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26"/>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26"/>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25"/>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r w:rsidR="007F5C6A" w:rsidRPr="007F5C6A" w:rsidTr="007F5C6A">
        <w:trPr>
          <w:trHeight w:val="930"/>
        </w:trPr>
        <w:tc>
          <w:tcPr>
            <w:tcW w:w="179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949"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65"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1527"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c>
          <w:tcPr>
            <w:tcW w:w="2974" w:type="dxa"/>
          </w:tcPr>
          <w:p w:rsidR="007F5C6A" w:rsidRPr="007F5C6A" w:rsidRDefault="007F5C6A" w:rsidP="007F5C6A">
            <w:pPr>
              <w:widowControl w:val="0"/>
              <w:autoSpaceDE w:val="0"/>
              <w:autoSpaceDN w:val="0"/>
              <w:spacing w:after="0" w:line="240" w:lineRule="auto"/>
              <w:rPr>
                <w:rFonts w:ascii="Times New Roman" w:eastAsia="Georgia" w:hAnsi="Times New Roman" w:cs="Times New Roman"/>
                <w:sz w:val="24"/>
                <w:szCs w:val="24"/>
                <w:lang w:val="en-US"/>
              </w:rPr>
            </w:pPr>
          </w:p>
        </w:tc>
      </w:tr>
    </w:tbl>
    <w:p w:rsidR="007F5C6A" w:rsidRPr="007F5C6A" w:rsidRDefault="007F5C6A" w:rsidP="007F5C6A">
      <w:pPr>
        <w:widowControl w:val="0"/>
        <w:autoSpaceDE w:val="0"/>
        <w:autoSpaceDN w:val="0"/>
        <w:spacing w:after="0" w:line="240" w:lineRule="auto"/>
        <w:ind w:left="219"/>
        <w:jc w:val="center"/>
        <w:outlineLvl w:val="0"/>
        <w:rPr>
          <w:rFonts w:ascii="Cambria" w:eastAsia="Georgia" w:hAnsi="Cambria" w:cs="Georgia"/>
          <w:b/>
          <w:bCs/>
          <w:sz w:val="24"/>
          <w:szCs w:val="24"/>
          <w:lang w:val="en-US"/>
        </w:rPr>
      </w:pPr>
    </w:p>
    <w:p w:rsidR="007F5C6A" w:rsidRPr="007F5C6A" w:rsidRDefault="007F5C6A" w:rsidP="007F5C6A">
      <w:pPr>
        <w:widowControl w:val="0"/>
        <w:autoSpaceDE w:val="0"/>
        <w:autoSpaceDN w:val="0"/>
        <w:spacing w:after="0" w:line="240" w:lineRule="auto"/>
        <w:rPr>
          <w:rFonts w:ascii="Garamond" w:eastAsia="Garamond" w:hAnsi="Garamond" w:cs="Garamond"/>
          <w:lang w:val="en-US"/>
        </w:rPr>
      </w:pPr>
    </w:p>
    <w:p w:rsidR="007A5686" w:rsidRDefault="007A5686">
      <w:pPr>
        <w:sectPr w:rsidR="007A5686" w:rsidSect="007F5C6A">
          <w:footerReference w:type="default" r:id="rId9"/>
          <w:pgSz w:w="12240" w:h="15840"/>
          <w:pgMar w:top="1440" w:right="1440" w:bottom="1440" w:left="1440" w:header="720" w:footer="720" w:gutter="0"/>
          <w:pgNumType w:fmt="lowerRoman" w:start="0"/>
          <w:cols w:space="720"/>
          <w:titlePg/>
          <w:docGrid w:linePitch="360"/>
        </w:sectPr>
      </w:pP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r w:rsidRPr="007A5686">
        <w:rPr>
          <w:rFonts w:ascii="Cambria" w:eastAsia="Times New Roman" w:hAnsi="Cambria" w:cs="Calibri"/>
          <w:kern w:val="1"/>
          <w:sz w:val="24"/>
          <w:szCs w:val="24"/>
          <w:lang w:val="en-US" w:eastAsia="ar-SA"/>
        </w:rPr>
        <w:lastRenderedPageBreak/>
        <w:t xml:space="preserve">  </w:t>
      </w: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055F7" w:rsidRDefault="007A5686" w:rsidP="007A5686">
      <w:pPr>
        <w:tabs>
          <w:tab w:val="left" w:pos="7371"/>
        </w:tabs>
        <w:suppressAutoHyphens/>
        <w:spacing w:after="567" w:line="360" w:lineRule="auto"/>
        <w:jc w:val="center"/>
        <w:rPr>
          <w:rFonts w:ascii="Arial" w:eastAsia="Times New Roman" w:hAnsi="Arial" w:cs="Arial"/>
          <w:b/>
          <w:kern w:val="1"/>
          <w:sz w:val="44"/>
          <w:szCs w:val="24"/>
          <w:lang w:val="en-US" w:eastAsia="ar-SA"/>
        </w:rPr>
      </w:pPr>
      <w:r w:rsidRPr="007055F7">
        <w:rPr>
          <w:rFonts w:ascii="Arial" w:eastAsia="Times New Roman" w:hAnsi="Arial" w:cs="Arial"/>
          <w:b/>
          <w:kern w:val="1"/>
          <w:sz w:val="44"/>
          <w:szCs w:val="24"/>
          <w:lang w:val="en-US" w:eastAsia="ar-SA"/>
        </w:rPr>
        <w:t>NATIONAL COMMUNICATIONS AUTHORITY</w:t>
      </w: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055F7"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r w:rsidRPr="007A5686">
        <w:rPr>
          <w:rFonts w:ascii="Cambria" w:eastAsia="Times New Roman" w:hAnsi="Cambria" w:cs="Times New Roman"/>
          <w:noProof/>
          <w:kern w:val="1"/>
          <w:sz w:val="20"/>
          <w:szCs w:val="20"/>
          <w:lang w:eastAsia="en-GB"/>
        </w:rPr>
        <w:drawing>
          <wp:inline distT="0" distB="0" distL="0" distR="0" wp14:anchorId="61AA56F4" wp14:editId="5ED6BA03">
            <wp:extent cx="1396764" cy="1308100"/>
            <wp:effectExtent l="0" t="0" r="0" b="6350"/>
            <wp:docPr id="2" name="Picture 2" descr="C:\Users\AGYEI KEVORSON\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YEI KEVORSON\Downloads\down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027" cy="1329886"/>
                    </a:xfrm>
                    <a:prstGeom prst="rect">
                      <a:avLst/>
                    </a:prstGeom>
                    <a:noFill/>
                    <a:ln>
                      <a:noFill/>
                    </a:ln>
                  </pic:spPr>
                </pic:pic>
              </a:graphicData>
            </a:graphic>
          </wp:inline>
        </w:drawing>
      </w: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A5686" w:rsidP="007A5686">
      <w:pPr>
        <w:suppressAutoHyphens/>
        <w:overflowPunct w:val="0"/>
        <w:autoSpaceDE w:val="0"/>
        <w:spacing w:after="120" w:line="360" w:lineRule="auto"/>
        <w:jc w:val="center"/>
        <w:textAlignment w:val="baseline"/>
        <w:rPr>
          <w:rFonts w:ascii="Cambria" w:eastAsia="Times New Roman" w:hAnsi="Cambria" w:cs="Calibri"/>
          <w:kern w:val="1"/>
          <w:sz w:val="24"/>
          <w:szCs w:val="24"/>
          <w:lang w:val="en-US" w:eastAsia="ar-SA"/>
        </w:rPr>
      </w:pPr>
    </w:p>
    <w:p w:rsidR="007A5686" w:rsidRPr="007A5686" w:rsidRDefault="007A5686" w:rsidP="007055F7">
      <w:pPr>
        <w:suppressAutoHyphens/>
        <w:overflowPunct w:val="0"/>
        <w:autoSpaceDE w:val="0"/>
        <w:spacing w:after="120" w:line="360" w:lineRule="auto"/>
        <w:textAlignment w:val="baseline"/>
        <w:rPr>
          <w:rFonts w:ascii="Cambria" w:eastAsia="Times New Roman" w:hAnsi="Cambria" w:cs="Calibri"/>
          <w:kern w:val="1"/>
          <w:sz w:val="24"/>
          <w:szCs w:val="24"/>
          <w:lang w:val="en-US" w:eastAsia="ar-SA"/>
        </w:rPr>
      </w:pPr>
    </w:p>
    <w:p w:rsidR="007A5686" w:rsidRPr="007055F7" w:rsidRDefault="007055F7" w:rsidP="007055F7">
      <w:pPr>
        <w:tabs>
          <w:tab w:val="left" w:pos="7371"/>
        </w:tabs>
        <w:suppressAutoHyphens/>
        <w:spacing w:after="113" w:line="360" w:lineRule="auto"/>
        <w:jc w:val="center"/>
        <w:rPr>
          <w:rFonts w:ascii="Arial" w:eastAsia="Times New Roman" w:hAnsi="Arial" w:cs="Arial"/>
          <w:kern w:val="1"/>
          <w:sz w:val="32"/>
          <w:szCs w:val="24"/>
          <w:lang w:val="en-US" w:eastAsia="ar-SA"/>
        </w:rPr>
      </w:pPr>
      <w:r w:rsidRPr="007055F7">
        <w:rPr>
          <w:rFonts w:ascii="Arial" w:eastAsia="Times New Roman" w:hAnsi="Arial" w:cs="Arial"/>
          <w:b/>
          <w:bCs/>
          <w:kern w:val="1"/>
          <w:sz w:val="40"/>
          <w:szCs w:val="24"/>
          <w:lang w:eastAsia="ar-SA"/>
        </w:rPr>
        <w:t>DISPUTE RESOLUTION COMMITTEE (DRC) USER GUIDELINES</w:t>
      </w:r>
    </w:p>
    <w:p w:rsidR="007A5686" w:rsidRPr="007055F7" w:rsidRDefault="007A5686" w:rsidP="007A5686">
      <w:pPr>
        <w:tabs>
          <w:tab w:val="left" w:pos="7371"/>
        </w:tabs>
        <w:suppressAutoHyphens/>
        <w:spacing w:after="113" w:line="360" w:lineRule="auto"/>
        <w:jc w:val="both"/>
        <w:rPr>
          <w:rFonts w:ascii="Arial" w:eastAsia="Times New Roman" w:hAnsi="Arial" w:cs="Arial"/>
          <w:kern w:val="1"/>
          <w:sz w:val="24"/>
          <w:szCs w:val="24"/>
          <w:lang w:val="en-US" w:eastAsia="ar-SA"/>
        </w:rPr>
      </w:pP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p>
    <w:p w:rsidR="007A5686" w:rsidRPr="007A5686" w:rsidRDefault="007A5686" w:rsidP="007A5686">
      <w:pPr>
        <w:tabs>
          <w:tab w:val="left" w:pos="7371"/>
        </w:tabs>
        <w:suppressAutoHyphens/>
        <w:spacing w:after="113" w:line="360" w:lineRule="auto"/>
        <w:jc w:val="both"/>
        <w:rPr>
          <w:rFonts w:ascii="Cambria" w:eastAsia="Times New Roman" w:hAnsi="Cambria" w:cs="Calibri"/>
          <w:kern w:val="1"/>
          <w:sz w:val="24"/>
          <w:szCs w:val="24"/>
          <w:lang w:val="en-US" w:eastAsia="ar-SA"/>
        </w:rPr>
      </w:pPr>
    </w:p>
    <w:p w:rsidR="007A5686" w:rsidRPr="007A5686" w:rsidRDefault="007A5686" w:rsidP="007A5686">
      <w:pPr>
        <w:suppressAutoHyphens/>
        <w:overflowPunct w:val="0"/>
        <w:autoSpaceDE w:val="0"/>
        <w:spacing w:after="120" w:line="360" w:lineRule="auto"/>
        <w:jc w:val="both"/>
        <w:textAlignment w:val="baseline"/>
        <w:rPr>
          <w:rFonts w:ascii="Cambria" w:eastAsia="Times New Roman" w:hAnsi="Cambria" w:cs="Calibri"/>
          <w:kern w:val="1"/>
          <w:sz w:val="24"/>
          <w:szCs w:val="24"/>
          <w:lang w:val="en-US" w:eastAsia="ar-SA"/>
        </w:rPr>
        <w:sectPr w:rsidR="007A5686" w:rsidRPr="007A5686" w:rsidSect="007A5686">
          <w:headerReference w:type="default" r:id="rId11"/>
          <w:footerReference w:type="default" r:id="rId12"/>
          <w:headerReference w:type="first" r:id="rId13"/>
          <w:footnotePr>
            <w:pos w:val="beneathText"/>
          </w:footnotePr>
          <w:pgSz w:w="11905" w:h="16837"/>
          <w:pgMar w:top="900" w:right="991" w:bottom="1418" w:left="1170" w:header="0" w:footer="0" w:gutter="0"/>
          <w:pgBorders w:display="firstPage" w:offsetFrom="page">
            <w:top w:val="single" w:sz="8" w:space="24" w:color="auto"/>
            <w:left w:val="single" w:sz="8" w:space="24" w:color="auto"/>
            <w:bottom w:val="single" w:sz="8" w:space="24" w:color="auto"/>
            <w:right w:val="single" w:sz="8" w:space="24" w:color="auto"/>
          </w:pgBorders>
          <w:cols w:space="720"/>
          <w:titlePg/>
          <w:docGrid w:linePitch="360"/>
        </w:sectPr>
      </w:pPr>
      <w:bookmarkStart w:id="1" w:name="TM_Datum"/>
      <w:bookmarkEnd w:id="1"/>
    </w:p>
    <w:p w:rsidR="0087317A" w:rsidRPr="00BA2B8B" w:rsidRDefault="0087317A" w:rsidP="0087317A">
      <w:pPr>
        <w:pStyle w:val="SectionSubheading"/>
        <w:numPr>
          <w:ilvl w:val="0"/>
          <w:numId w:val="0"/>
        </w:numPr>
        <w:spacing w:before="240" w:after="240" w:line="360" w:lineRule="auto"/>
        <w:jc w:val="both"/>
        <w:outlineLvl w:val="2"/>
        <w:rPr>
          <w:rFonts w:cs="Arial"/>
          <w:b/>
          <w:bCs/>
        </w:rPr>
      </w:pPr>
      <w:r w:rsidRPr="00BA2B8B">
        <w:rPr>
          <w:rFonts w:cs="Arial"/>
          <w:b/>
          <w:bCs/>
        </w:rPr>
        <w:lastRenderedPageBreak/>
        <w:t>GLOSSARY OF TERMS</w:t>
      </w:r>
    </w:p>
    <w:p w:rsidR="0087317A" w:rsidRPr="00BA2B8B" w:rsidRDefault="0087317A" w:rsidP="0087317A">
      <w:pPr>
        <w:pStyle w:val="SectionSubheading"/>
        <w:numPr>
          <w:ilvl w:val="0"/>
          <w:numId w:val="0"/>
        </w:numPr>
        <w:spacing w:before="240" w:after="240" w:line="360" w:lineRule="auto"/>
        <w:ind w:left="1440" w:hanging="1450"/>
        <w:jc w:val="both"/>
        <w:rPr>
          <w:rFonts w:cs="Arial"/>
        </w:rPr>
      </w:pPr>
      <w:r w:rsidRPr="00BA2B8B">
        <w:rPr>
          <w:rFonts w:cs="Arial"/>
        </w:rPr>
        <w:t>ADR</w:t>
      </w:r>
      <w:r w:rsidRPr="00BA2B8B">
        <w:rPr>
          <w:rFonts w:cs="Arial"/>
        </w:rPr>
        <w:tab/>
      </w:r>
      <w:r w:rsidRPr="00BA2B8B">
        <w:rPr>
          <w:rFonts w:cs="Arial"/>
        </w:rPr>
        <w:tab/>
        <w:t>Alternative Dispute Resolution</w:t>
      </w:r>
    </w:p>
    <w:p w:rsidR="0087317A" w:rsidRPr="00BA2B8B" w:rsidRDefault="0087317A" w:rsidP="0087317A">
      <w:pPr>
        <w:pStyle w:val="SectionSubheading"/>
        <w:numPr>
          <w:ilvl w:val="0"/>
          <w:numId w:val="0"/>
        </w:numPr>
        <w:spacing w:before="240" w:after="240" w:line="360" w:lineRule="auto"/>
        <w:ind w:left="1440" w:hanging="1440"/>
        <w:jc w:val="both"/>
        <w:rPr>
          <w:rFonts w:cs="Arial"/>
        </w:rPr>
      </w:pPr>
      <w:r w:rsidRPr="00BA2B8B">
        <w:rPr>
          <w:rFonts w:cs="Arial"/>
        </w:rPr>
        <w:t>Award</w:t>
      </w:r>
      <w:r w:rsidRPr="00BA2B8B">
        <w:rPr>
          <w:rFonts w:cs="Arial"/>
        </w:rPr>
        <w:tab/>
      </w:r>
      <w:r w:rsidRPr="00BA2B8B">
        <w:rPr>
          <w:rFonts w:cs="Arial"/>
        </w:rPr>
        <w:tab/>
        <w:t xml:space="preserve">Final decision delivered by the DRC after receiving evidence of parties and </w:t>
      </w:r>
      <w:r w:rsidRPr="00BA2B8B">
        <w:rPr>
          <w:rFonts w:cs="Arial"/>
        </w:rPr>
        <w:tab/>
        <w:t>receiving legal arguments. It also includes terms of settlement by parties.</w:t>
      </w:r>
    </w:p>
    <w:p w:rsidR="0087317A" w:rsidRPr="00BA2B8B" w:rsidRDefault="0087317A" w:rsidP="0087317A">
      <w:pPr>
        <w:pStyle w:val="SectionSubheading"/>
        <w:numPr>
          <w:ilvl w:val="0"/>
          <w:numId w:val="0"/>
        </w:numPr>
        <w:spacing w:before="240" w:after="240" w:line="360" w:lineRule="auto"/>
        <w:ind w:left="2160" w:hanging="2160"/>
        <w:jc w:val="both"/>
        <w:rPr>
          <w:rFonts w:cs="Arial"/>
        </w:rPr>
      </w:pPr>
      <w:r w:rsidRPr="00BA2B8B">
        <w:rPr>
          <w:rFonts w:cs="Arial"/>
        </w:rPr>
        <w:t xml:space="preserve">Board </w:t>
      </w:r>
      <w:r w:rsidRPr="00BA2B8B">
        <w:rPr>
          <w:rFonts w:cs="Arial"/>
        </w:rPr>
        <w:tab/>
      </w:r>
      <w:proofErr w:type="spellStart"/>
      <w:r w:rsidRPr="00BA2B8B">
        <w:rPr>
          <w:rFonts w:cs="Arial"/>
        </w:rPr>
        <w:t>Board</w:t>
      </w:r>
      <w:proofErr w:type="spellEnd"/>
      <w:r w:rsidRPr="00BA2B8B">
        <w:rPr>
          <w:rFonts w:cs="Arial"/>
        </w:rPr>
        <w:t xml:space="preserve"> of Directors of the National Communications Authority established the National Communications Authority Act, 2008 (Act 769).</w:t>
      </w:r>
    </w:p>
    <w:p w:rsidR="0087317A" w:rsidRPr="00BA2B8B" w:rsidRDefault="0087317A" w:rsidP="0087317A">
      <w:pPr>
        <w:pStyle w:val="SectionSubheading"/>
        <w:numPr>
          <w:ilvl w:val="0"/>
          <w:numId w:val="0"/>
        </w:numPr>
        <w:spacing w:before="240" w:after="240" w:line="360" w:lineRule="auto"/>
        <w:ind w:left="1440" w:hanging="1450"/>
        <w:jc w:val="both"/>
        <w:rPr>
          <w:rFonts w:cs="Arial"/>
        </w:rPr>
      </w:pPr>
      <w:r w:rsidRPr="00BA2B8B">
        <w:rPr>
          <w:rFonts w:cs="Arial"/>
        </w:rPr>
        <w:t>Constitution</w:t>
      </w:r>
      <w:r w:rsidRPr="00BA2B8B">
        <w:rPr>
          <w:rFonts w:cs="Arial"/>
        </w:rPr>
        <w:tab/>
      </w:r>
      <w:r w:rsidRPr="00BA2B8B">
        <w:rPr>
          <w:rFonts w:cs="Arial"/>
        </w:rPr>
        <w:tab/>
      </w:r>
      <w:proofErr w:type="gramStart"/>
      <w:r w:rsidR="007055F7" w:rsidRPr="00BA2B8B">
        <w:rPr>
          <w:rFonts w:cs="Arial"/>
        </w:rPr>
        <w:t>The</w:t>
      </w:r>
      <w:proofErr w:type="gramEnd"/>
      <w:r w:rsidR="007055F7" w:rsidRPr="00BA2B8B">
        <w:rPr>
          <w:rFonts w:cs="Arial"/>
        </w:rPr>
        <w:t xml:space="preserve"> Constitution of Ghana, 1992</w:t>
      </w:r>
    </w:p>
    <w:p w:rsidR="0087317A" w:rsidRPr="00BA2B8B" w:rsidRDefault="0087317A" w:rsidP="0087317A">
      <w:pPr>
        <w:pStyle w:val="SectionSubheading"/>
        <w:numPr>
          <w:ilvl w:val="0"/>
          <w:numId w:val="0"/>
        </w:numPr>
        <w:spacing w:before="240" w:after="240" w:line="360" w:lineRule="auto"/>
        <w:jc w:val="both"/>
        <w:rPr>
          <w:rFonts w:cs="Arial"/>
        </w:rPr>
      </w:pPr>
      <w:r w:rsidRPr="00BA2B8B">
        <w:rPr>
          <w:rFonts w:cs="Arial"/>
        </w:rPr>
        <w:t xml:space="preserve">DRC </w:t>
      </w:r>
      <w:r w:rsidRPr="00BA2B8B">
        <w:rPr>
          <w:rFonts w:cs="Arial"/>
        </w:rPr>
        <w:tab/>
      </w:r>
      <w:r w:rsidRPr="00BA2B8B">
        <w:rPr>
          <w:rFonts w:cs="Arial"/>
        </w:rPr>
        <w:tab/>
      </w:r>
      <w:r w:rsidRPr="00BA2B8B">
        <w:rPr>
          <w:rFonts w:cs="Arial"/>
        </w:rPr>
        <w:tab/>
      </w:r>
      <w:r w:rsidR="007055F7" w:rsidRPr="00BA2B8B">
        <w:rPr>
          <w:rFonts w:cs="Arial"/>
        </w:rPr>
        <w:t>Dispute Resolution Committee</w:t>
      </w:r>
    </w:p>
    <w:p w:rsidR="0087317A" w:rsidRPr="00BA2B8B" w:rsidRDefault="0087317A" w:rsidP="0087317A">
      <w:pPr>
        <w:pStyle w:val="SectionSubheading"/>
        <w:numPr>
          <w:ilvl w:val="0"/>
          <w:numId w:val="0"/>
        </w:numPr>
        <w:spacing w:before="240" w:after="240" w:line="360" w:lineRule="auto"/>
        <w:jc w:val="both"/>
        <w:rPr>
          <w:rFonts w:cs="Arial"/>
        </w:rPr>
      </w:pPr>
      <w:r w:rsidRPr="00BA2B8B">
        <w:rPr>
          <w:rFonts w:cs="Arial"/>
        </w:rPr>
        <w:t xml:space="preserve">ECA </w:t>
      </w:r>
      <w:r w:rsidRPr="00BA2B8B">
        <w:rPr>
          <w:rFonts w:cs="Arial"/>
        </w:rPr>
        <w:tab/>
      </w:r>
      <w:r w:rsidRPr="00BA2B8B">
        <w:rPr>
          <w:rFonts w:cs="Arial"/>
        </w:rPr>
        <w:tab/>
      </w:r>
      <w:r w:rsidRPr="00BA2B8B">
        <w:rPr>
          <w:rFonts w:cs="Arial"/>
        </w:rPr>
        <w:tab/>
        <w:t>Electronic Communications Act, 2008 (Act 775)</w:t>
      </w:r>
    </w:p>
    <w:p w:rsidR="0087317A" w:rsidRPr="00BA2B8B" w:rsidRDefault="0087317A" w:rsidP="0087317A">
      <w:pPr>
        <w:pStyle w:val="SectionSubheading"/>
        <w:numPr>
          <w:ilvl w:val="0"/>
          <w:numId w:val="0"/>
        </w:numPr>
        <w:spacing w:before="240" w:after="240" w:line="360" w:lineRule="auto"/>
        <w:jc w:val="both"/>
        <w:rPr>
          <w:rFonts w:cs="Arial"/>
        </w:rPr>
      </w:pPr>
      <w:r w:rsidRPr="00BA2B8B">
        <w:rPr>
          <w:rFonts w:cs="Arial"/>
        </w:rPr>
        <w:t>ECT</w:t>
      </w:r>
      <w:r w:rsidRPr="00BA2B8B">
        <w:rPr>
          <w:rFonts w:cs="Arial"/>
        </w:rPr>
        <w:tab/>
      </w:r>
      <w:r w:rsidRPr="00BA2B8B">
        <w:rPr>
          <w:rFonts w:cs="Arial"/>
        </w:rPr>
        <w:tab/>
      </w:r>
      <w:r w:rsidRPr="00BA2B8B">
        <w:rPr>
          <w:rFonts w:cs="Arial"/>
        </w:rPr>
        <w:tab/>
        <w:t>Ele</w:t>
      </w:r>
      <w:r w:rsidR="007055F7" w:rsidRPr="00BA2B8B">
        <w:rPr>
          <w:rFonts w:cs="Arial"/>
        </w:rPr>
        <w:t>ctronic Communications Tribunal</w:t>
      </w:r>
    </w:p>
    <w:p w:rsidR="0087317A" w:rsidRPr="00BA2B8B" w:rsidRDefault="0087317A" w:rsidP="0087317A">
      <w:pPr>
        <w:pStyle w:val="SectionSubheading"/>
        <w:numPr>
          <w:ilvl w:val="0"/>
          <w:numId w:val="0"/>
        </w:numPr>
        <w:spacing w:before="240" w:after="240" w:line="360" w:lineRule="auto"/>
        <w:jc w:val="both"/>
        <w:rPr>
          <w:rFonts w:cs="Arial"/>
        </w:rPr>
      </w:pPr>
      <w:r w:rsidRPr="00BA2B8B">
        <w:rPr>
          <w:rFonts w:cs="Arial"/>
        </w:rPr>
        <w:t xml:space="preserve">NCA </w:t>
      </w:r>
      <w:r w:rsidRPr="00BA2B8B">
        <w:rPr>
          <w:rFonts w:cs="Arial"/>
        </w:rPr>
        <w:tab/>
      </w:r>
      <w:r w:rsidRPr="00BA2B8B">
        <w:rPr>
          <w:rFonts w:cs="Arial"/>
        </w:rPr>
        <w:tab/>
      </w:r>
      <w:r w:rsidRPr="00BA2B8B">
        <w:rPr>
          <w:rFonts w:cs="Arial"/>
        </w:rPr>
        <w:tab/>
        <w:t>Na</w:t>
      </w:r>
      <w:r w:rsidR="007055F7" w:rsidRPr="00BA2B8B">
        <w:rPr>
          <w:rFonts w:cs="Arial"/>
        </w:rPr>
        <w:t>tional Communications Authority</w:t>
      </w:r>
    </w:p>
    <w:p w:rsidR="0087317A" w:rsidRPr="00BA2B8B" w:rsidRDefault="0087317A" w:rsidP="0087317A">
      <w:pPr>
        <w:pStyle w:val="SectionSubheading"/>
        <w:numPr>
          <w:ilvl w:val="0"/>
          <w:numId w:val="0"/>
        </w:numPr>
        <w:spacing w:before="240" w:after="240" w:line="360" w:lineRule="auto"/>
        <w:ind w:left="2160" w:hanging="2170"/>
        <w:jc w:val="both"/>
        <w:rPr>
          <w:rFonts w:cs="Arial"/>
        </w:rPr>
      </w:pPr>
      <w:r w:rsidRPr="00BA2B8B">
        <w:rPr>
          <w:rFonts w:cs="Arial"/>
        </w:rPr>
        <w:t>Network operator</w:t>
      </w:r>
      <w:r w:rsidRPr="00BA2B8B">
        <w:rPr>
          <w:rFonts w:cs="Arial"/>
        </w:rPr>
        <w:tab/>
        <w:t>a person licensed under the ECA to operate a public electronic communications network.</w:t>
      </w:r>
    </w:p>
    <w:p w:rsidR="0087317A" w:rsidRPr="00BA2B8B" w:rsidRDefault="0087317A" w:rsidP="0087317A">
      <w:pPr>
        <w:pStyle w:val="SectionSubheading"/>
        <w:numPr>
          <w:ilvl w:val="0"/>
          <w:numId w:val="0"/>
        </w:numPr>
        <w:spacing w:before="240" w:after="240" w:line="360" w:lineRule="auto"/>
        <w:jc w:val="both"/>
        <w:rPr>
          <w:rFonts w:cs="Arial"/>
        </w:rPr>
      </w:pPr>
      <w:r w:rsidRPr="00BA2B8B">
        <w:rPr>
          <w:rFonts w:cs="Arial"/>
        </w:rPr>
        <w:t>Rules</w:t>
      </w:r>
      <w:r w:rsidRPr="00BA2B8B">
        <w:rPr>
          <w:rFonts w:cs="Arial"/>
        </w:rPr>
        <w:tab/>
      </w:r>
      <w:r w:rsidRPr="00BA2B8B">
        <w:rPr>
          <w:rFonts w:cs="Arial"/>
        </w:rPr>
        <w:tab/>
      </w:r>
      <w:r w:rsidRPr="00BA2B8B">
        <w:rPr>
          <w:rFonts w:cs="Arial"/>
        </w:rPr>
        <w:tab/>
      </w:r>
      <w:proofErr w:type="spellStart"/>
      <w:r w:rsidRPr="00BA2B8B">
        <w:rPr>
          <w:rFonts w:cs="Arial"/>
        </w:rPr>
        <w:t>Rules</w:t>
      </w:r>
      <w:proofErr w:type="spellEnd"/>
      <w:r w:rsidRPr="00BA2B8B">
        <w:rPr>
          <w:rFonts w:cs="Arial"/>
        </w:rPr>
        <w:t xml:space="preserve"> of Procedure of the Dispute Resolution Committee.</w:t>
      </w:r>
    </w:p>
    <w:p w:rsidR="0087317A" w:rsidRPr="00BA2B8B" w:rsidRDefault="0087317A" w:rsidP="0087317A">
      <w:pPr>
        <w:pStyle w:val="SectionSubheading"/>
        <w:numPr>
          <w:ilvl w:val="0"/>
          <w:numId w:val="0"/>
        </w:numPr>
        <w:spacing w:before="240" w:after="240" w:line="360" w:lineRule="auto"/>
        <w:ind w:left="2160" w:hanging="2170"/>
        <w:jc w:val="both"/>
        <w:rPr>
          <w:rFonts w:cs="Arial"/>
        </w:rPr>
      </w:pPr>
      <w:r w:rsidRPr="00BA2B8B">
        <w:rPr>
          <w:rFonts w:cs="Arial"/>
        </w:rPr>
        <w:t>Telecommunication</w:t>
      </w:r>
      <w:r w:rsidRPr="00BA2B8B">
        <w:rPr>
          <w:rFonts w:cs="Arial"/>
        </w:rPr>
        <w:tab/>
        <w:t>Includes the transmission, emission or reception of signals, writing, pulses, images, sounds or other intelligence of any kind by wire, radio, terrestrial or submarine cables, optical or electromagnetic spectrum or by way of any other technology.</w:t>
      </w:r>
    </w:p>
    <w:p w:rsidR="0087317A" w:rsidRPr="00BA2B8B" w:rsidRDefault="0087317A" w:rsidP="0087317A">
      <w:pPr>
        <w:rPr>
          <w:rFonts w:ascii="Arial" w:hAnsi="Arial" w:cs="Arial"/>
          <w:b/>
          <w:bCs/>
        </w:rPr>
      </w:pPr>
    </w:p>
    <w:p w:rsidR="0087317A" w:rsidRPr="00BA2B8B" w:rsidRDefault="0087317A" w:rsidP="0087317A">
      <w:pPr>
        <w:rPr>
          <w:rFonts w:ascii="Arial" w:hAnsi="Arial" w:cs="Arial"/>
          <w:b/>
          <w:bCs/>
        </w:rPr>
      </w:pPr>
      <w:r w:rsidRPr="00BA2B8B">
        <w:rPr>
          <w:rFonts w:ascii="Arial" w:hAnsi="Arial" w:cs="Arial"/>
          <w:b/>
          <w:bCs/>
        </w:rPr>
        <w:br w:type="page"/>
      </w:r>
    </w:p>
    <w:p w:rsidR="0087317A" w:rsidRPr="00BA2B8B" w:rsidRDefault="0087317A" w:rsidP="00FE04DC">
      <w:pPr>
        <w:pStyle w:val="ListParagraph"/>
        <w:numPr>
          <w:ilvl w:val="0"/>
          <w:numId w:val="8"/>
        </w:numPr>
        <w:spacing w:after="240" w:line="360" w:lineRule="auto"/>
        <w:ind w:left="907" w:hanging="907"/>
        <w:contextualSpacing w:val="0"/>
        <w:rPr>
          <w:rFonts w:ascii="Arial" w:hAnsi="Arial" w:cs="Arial"/>
          <w:b/>
          <w:bCs/>
          <w:sz w:val="22"/>
          <w:szCs w:val="22"/>
        </w:rPr>
      </w:pPr>
      <w:r w:rsidRPr="00BA2B8B">
        <w:rPr>
          <w:rFonts w:ascii="Arial" w:hAnsi="Arial" w:cs="Arial"/>
          <w:b/>
          <w:bCs/>
          <w:sz w:val="22"/>
          <w:szCs w:val="22"/>
        </w:rPr>
        <w:lastRenderedPageBreak/>
        <w:t>INTRODUCTION</w:t>
      </w:r>
    </w:p>
    <w:p w:rsidR="0087317A" w:rsidRPr="00BA2B8B" w:rsidRDefault="0087317A" w:rsidP="0087317A">
      <w:pPr>
        <w:pStyle w:val="ListParagraph"/>
        <w:spacing w:line="360" w:lineRule="auto"/>
        <w:ind w:left="900"/>
        <w:rPr>
          <w:rFonts w:ascii="Arial" w:hAnsi="Arial" w:cs="Arial"/>
          <w:sz w:val="22"/>
          <w:szCs w:val="22"/>
        </w:rPr>
      </w:pPr>
      <w:r w:rsidRPr="00BA2B8B">
        <w:rPr>
          <w:rFonts w:ascii="Arial" w:hAnsi="Arial" w:cs="Arial"/>
          <w:sz w:val="22"/>
          <w:szCs w:val="22"/>
        </w:rPr>
        <w:t>These Guidelines are made pursuant to sections 84 and 85 of the Electronic Transactions Act to serve as a comprehensive guide for all stakeholders in the electronic communications industry and to provide them with a practical understanding of the operations of the Dispute Resolution Committee (the DRC).</w:t>
      </w:r>
    </w:p>
    <w:p w:rsidR="0087317A" w:rsidRPr="00BA2B8B" w:rsidRDefault="0087317A" w:rsidP="0087317A">
      <w:pPr>
        <w:pStyle w:val="ListParagraph"/>
        <w:spacing w:line="360" w:lineRule="auto"/>
        <w:rPr>
          <w:rFonts w:ascii="Arial" w:hAnsi="Arial" w:cs="Arial"/>
          <w:sz w:val="22"/>
          <w:szCs w:val="22"/>
        </w:rPr>
      </w:pPr>
    </w:p>
    <w:p w:rsidR="0087317A" w:rsidRPr="00BA2B8B" w:rsidRDefault="0087317A" w:rsidP="00FE04DC">
      <w:pPr>
        <w:pStyle w:val="ListParagraph"/>
        <w:numPr>
          <w:ilvl w:val="0"/>
          <w:numId w:val="8"/>
        </w:numPr>
        <w:spacing w:after="240" w:line="360" w:lineRule="auto"/>
        <w:ind w:left="907" w:hanging="907"/>
        <w:contextualSpacing w:val="0"/>
        <w:rPr>
          <w:rFonts w:ascii="Arial" w:hAnsi="Arial" w:cs="Arial"/>
          <w:b/>
          <w:bCs/>
          <w:sz w:val="22"/>
          <w:szCs w:val="22"/>
        </w:rPr>
      </w:pPr>
      <w:r w:rsidRPr="00BA2B8B">
        <w:rPr>
          <w:rFonts w:ascii="Arial" w:hAnsi="Arial" w:cs="Arial"/>
          <w:b/>
          <w:bCs/>
          <w:sz w:val="22"/>
          <w:szCs w:val="22"/>
        </w:rPr>
        <w:t>SCOPE OF THE DRC’S JURISDICTION</w:t>
      </w:r>
    </w:p>
    <w:p w:rsidR="0087317A" w:rsidRPr="00BA2B8B" w:rsidRDefault="0087317A" w:rsidP="0087317A">
      <w:pPr>
        <w:spacing w:after="240" w:line="360" w:lineRule="auto"/>
        <w:ind w:left="900" w:hanging="900"/>
        <w:jc w:val="both"/>
        <w:rPr>
          <w:rFonts w:ascii="Arial" w:hAnsi="Arial" w:cs="Arial"/>
          <w:b/>
          <w:bCs/>
        </w:rPr>
      </w:pPr>
      <w:r w:rsidRPr="00BA2B8B">
        <w:rPr>
          <w:rFonts w:ascii="Arial" w:hAnsi="Arial" w:cs="Arial"/>
          <w:bCs/>
        </w:rPr>
        <w:t>2.1</w:t>
      </w:r>
      <w:r w:rsidRPr="00BA2B8B">
        <w:rPr>
          <w:rFonts w:ascii="Arial" w:hAnsi="Arial" w:cs="Arial"/>
          <w:b/>
          <w:bCs/>
        </w:rPr>
        <w:t xml:space="preserve">         </w:t>
      </w:r>
      <w:r w:rsidRPr="00BA2B8B">
        <w:rPr>
          <w:rFonts w:ascii="Arial" w:hAnsi="Arial" w:cs="Arial"/>
        </w:rPr>
        <w:t>The DRC is set up with jurisdiction to settle various disputes between the entities in the telecommunication industry. The jurisdiction of the DRC applies to:</w:t>
      </w:r>
    </w:p>
    <w:p w:rsidR="0087317A" w:rsidRPr="00BA2B8B" w:rsidRDefault="0087317A" w:rsidP="00FE04DC">
      <w:pPr>
        <w:pStyle w:val="ListParagraph"/>
        <w:numPr>
          <w:ilvl w:val="0"/>
          <w:numId w:val="2"/>
        </w:numPr>
        <w:spacing w:after="240" w:line="360" w:lineRule="auto"/>
        <w:rPr>
          <w:rFonts w:ascii="Arial" w:hAnsi="Arial" w:cs="Arial"/>
          <w:sz w:val="22"/>
          <w:szCs w:val="22"/>
        </w:rPr>
      </w:pPr>
      <w:r w:rsidRPr="00BA2B8B">
        <w:rPr>
          <w:rFonts w:ascii="Arial" w:hAnsi="Arial" w:cs="Arial"/>
          <w:sz w:val="22"/>
          <w:szCs w:val="22"/>
        </w:rPr>
        <w:t>Disputes between or among different network operators or service providers.</w:t>
      </w:r>
    </w:p>
    <w:p w:rsidR="0087317A" w:rsidRPr="00BA2B8B" w:rsidRDefault="0087317A" w:rsidP="00FE04DC">
      <w:pPr>
        <w:pStyle w:val="ListParagraph"/>
        <w:numPr>
          <w:ilvl w:val="0"/>
          <w:numId w:val="2"/>
        </w:numPr>
        <w:spacing w:after="240" w:line="360" w:lineRule="auto"/>
        <w:rPr>
          <w:rFonts w:ascii="Arial" w:hAnsi="Arial" w:cs="Arial"/>
          <w:sz w:val="22"/>
          <w:szCs w:val="22"/>
        </w:rPr>
      </w:pPr>
      <w:r w:rsidRPr="00BA2B8B">
        <w:rPr>
          <w:rFonts w:ascii="Arial" w:hAnsi="Arial" w:cs="Arial"/>
          <w:sz w:val="22"/>
          <w:szCs w:val="22"/>
        </w:rPr>
        <w:t>Disputes between network operators or service providers and a utility provider.</w:t>
      </w:r>
    </w:p>
    <w:p w:rsidR="0087317A" w:rsidRPr="00BA2B8B" w:rsidRDefault="0087317A" w:rsidP="00FE04DC">
      <w:pPr>
        <w:pStyle w:val="ListParagraph"/>
        <w:numPr>
          <w:ilvl w:val="0"/>
          <w:numId w:val="2"/>
        </w:numPr>
        <w:spacing w:after="240" w:line="360" w:lineRule="auto"/>
        <w:rPr>
          <w:rFonts w:ascii="Arial" w:hAnsi="Arial" w:cs="Arial"/>
          <w:sz w:val="22"/>
          <w:szCs w:val="22"/>
        </w:rPr>
      </w:pPr>
      <w:r w:rsidRPr="00BA2B8B">
        <w:rPr>
          <w:rFonts w:ascii="Arial" w:hAnsi="Arial" w:cs="Arial"/>
          <w:sz w:val="22"/>
          <w:szCs w:val="22"/>
        </w:rPr>
        <w:t>Disputes between a network operator or service provider and a consumer.</w:t>
      </w:r>
    </w:p>
    <w:p w:rsidR="0087317A" w:rsidRPr="00BA2B8B" w:rsidRDefault="0087317A" w:rsidP="003F1F35">
      <w:pPr>
        <w:pStyle w:val="ListParagraph"/>
        <w:spacing w:after="240"/>
        <w:ind w:left="1440"/>
        <w:jc w:val="center"/>
        <w:rPr>
          <w:rFonts w:ascii="Arial" w:hAnsi="Arial" w:cs="Arial"/>
          <w:sz w:val="22"/>
          <w:szCs w:val="22"/>
        </w:rPr>
      </w:pPr>
    </w:p>
    <w:p w:rsidR="0087317A" w:rsidRPr="00BA2B8B" w:rsidRDefault="0087317A" w:rsidP="0087317A">
      <w:pPr>
        <w:spacing w:after="240" w:line="360" w:lineRule="auto"/>
        <w:ind w:left="-90" w:firstLine="90"/>
        <w:jc w:val="both"/>
        <w:rPr>
          <w:rFonts w:ascii="Arial" w:hAnsi="Arial" w:cs="Arial"/>
        </w:rPr>
      </w:pPr>
      <w:r w:rsidRPr="00BA2B8B">
        <w:rPr>
          <w:rFonts w:ascii="Arial" w:hAnsi="Arial" w:cs="Arial"/>
        </w:rPr>
        <w:t xml:space="preserve">2.2 </w:t>
      </w:r>
      <w:r w:rsidRPr="00BA2B8B">
        <w:rPr>
          <w:rFonts w:ascii="Arial" w:hAnsi="Arial" w:cs="Arial"/>
        </w:rPr>
        <w:tab/>
        <w:t xml:space="preserve">   The membership of the DRC shall be constituted in the following manner:</w:t>
      </w:r>
    </w:p>
    <w:p w:rsidR="0087317A" w:rsidRPr="00BA2B8B" w:rsidRDefault="0087317A" w:rsidP="00FE04DC">
      <w:pPr>
        <w:pStyle w:val="ListParagraph"/>
        <w:numPr>
          <w:ilvl w:val="0"/>
          <w:numId w:val="9"/>
        </w:numPr>
        <w:spacing w:after="240" w:line="360" w:lineRule="auto"/>
        <w:ind w:left="1418"/>
        <w:rPr>
          <w:rFonts w:ascii="Arial" w:hAnsi="Arial" w:cs="Arial"/>
          <w:sz w:val="22"/>
          <w:szCs w:val="22"/>
        </w:rPr>
      </w:pPr>
      <w:r w:rsidRPr="00BA2B8B">
        <w:rPr>
          <w:rFonts w:ascii="Arial" w:hAnsi="Arial" w:cs="Arial"/>
          <w:sz w:val="22"/>
          <w:szCs w:val="22"/>
        </w:rPr>
        <w:t>The Board shall appoint a total of seven (7) persons as members of the DRC. Two (2) out of the seven (7) persons shall be women.</w:t>
      </w:r>
    </w:p>
    <w:p w:rsidR="0087317A" w:rsidRPr="00BA2B8B" w:rsidRDefault="0087317A" w:rsidP="00FE04DC">
      <w:pPr>
        <w:pStyle w:val="ListParagraph"/>
        <w:numPr>
          <w:ilvl w:val="0"/>
          <w:numId w:val="9"/>
        </w:numPr>
        <w:spacing w:after="240" w:line="360" w:lineRule="auto"/>
        <w:ind w:left="1418"/>
        <w:rPr>
          <w:rFonts w:ascii="Arial" w:hAnsi="Arial" w:cs="Arial"/>
          <w:sz w:val="22"/>
          <w:szCs w:val="22"/>
        </w:rPr>
      </w:pPr>
      <w:r w:rsidRPr="00BA2B8B">
        <w:rPr>
          <w:rFonts w:ascii="Arial" w:hAnsi="Arial" w:cs="Arial"/>
          <w:sz w:val="22"/>
          <w:szCs w:val="22"/>
        </w:rPr>
        <w:t xml:space="preserve">For each dispute, the Chairperson of the DRC shall empanel 3 persons to constitute the panel that determines the dispute. </w:t>
      </w:r>
    </w:p>
    <w:p w:rsidR="0087317A" w:rsidRPr="00BA2B8B" w:rsidRDefault="0087317A" w:rsidP="00FE04DC">
      <w:pPr>
        <w:pStyle w:val="ListParagraph"/>
        <w:numPr>
          <w:ilvl w:val="0"/>
          <w:numId w:val="9"/>
        </w:numPr>
        <w:spacing w:after="240" w:line="360" w:lineRule="auto"/>
        <w:ind w:left="1418"/>
        <w:rPr>
          <w:rFonts w:ascii="Arial" w:hAnsi="Arial" w:cs="Arial"/>
          <w:sz w:val="22"/>
          <w:szCs w:val="22"/>
        </w:rPr>
      </w:pPr>
      <w:r w:rsidRPr="00BA2B8B">
        <w:rPr>
          <w:rFonts w:ascii="Arial" w:hAnsi="Arial" w:cs="Arial"/>
          <w:sz w:val="22"/>
          <w:szCs w:val="22"/>
        </w:rPr>
        <w:t>The Chairperson of the DRC shall be a member of the Board.</w:t>
      </w:r>
    </w:p>
    <w:p w:rsidR="0087317A" w:rsidRPr="00BA2B8B" w:rsidRDefault="0087317A" w:rsidP="003F1F35">
      <w:pPr>
        <w:pStyle w:val="ListParagraph"/>
        <w:spacing w:after="240" w:line="360" w:lineRule="auto"/>
        <w:ind w:left="1418" w:firstLine="720"/>
        <w:rPr>
          <w:rFonts w:ascii="Arial" w:hAnsi="Arial" w:cs="Arial"/>
          <w:sz w:val="22"/>
          <w:szCs w:val="22"/>
        </w:rPr>
      </w:pPr>
    </w:p>
    <w:p w:rsidR="0087317A" w:rsidRPr="00BA2B8B" w:rsidRDefault="0087317A" w:rsidP="0087317A">
      <w:pPr>
        <w:spacing w:after="240" w:line="360" w:lineRule="auto"/>
        <w:ind w:left="990" w:hanging="990"/>
        <w:jc w:val="both"/>
        <w:rPr>
          <w:rFonts w:ascii="Arial" w:hAnsi="Arial" w:cs="Arial"/>
        </w:rPr>
      </w:pPr>
      <w:r w:rsidRPr="00BA2B8B">
        <w:rPr>
          <w:rFonts w:ascii="Arial" w:hAnsi="Arial" w:cs="Arial"/>
        </w:rPr>
        <w:t xml:space="preserve">2.3 </w:t>
      </w:r>
      <w:r w:rsidRPr="00BA2B8B">
        <w:rPr>
          <w:rFonts w:ascii="Arial" w:hAnsi="Arial" w:cs="Arial"/>
        </w:rPr>
        <w:tab/>
        <w:t>The DRC has the mandate to determine its own jurisdiction. When a dispute is submitted or referred by a party to the DRC, a Respondent to the action may file a challenge to the jurisdiction of the DRC requesting that the DRC either dismiss or refrain from hearing or determining a pending matter based on any of the following grounds:</w:t>
      </w:r>
    </w:p>
    <w:p w:rsidR="0087317A" w:rsidRPr="00BA2B8B" w:rsidRDefault="0087317A" w:rsidP="00FE04DC">
      <w:pPr>
        <w:pStyle w:val="ListParagraph"/>
        <w:numPr>
          <w:ilvl w:val="0"/>
          <w:numId w:val="3"/>
        </w:numPr>
        <w:spacing w:after="240" w:line="360" w:lineRule="auto"/>
        <w:ind w:left="1440"/>
        <w:rPr>
          <w:rFonts w:ascii="Arial" w:hAnsi="Arial" w:cs="Arial"/>
          <w:sz w:val="22"/>
          <w:szCs w:val="22"/>
        </w:rPr>
      </w:pPr>
      <w:r w:rsidRPr="00BA2B8B">
        <w:rPr>
          <w:rFonts w:ascii="Arial" w:hAnsi="Arial" w:cs="Arial"/>
          <w:sz w:val="22"/>
          <w:szCs w:val="22"/>
        </w:rPr>
        <w:t>It appears to the DRC that the subject matter or a part of the subject matter of the dispute is trivial;</w:t>
      </w:r>
    </w:p>
    <w:p w:rsidR="0087317A" w:rsidRPr="00BA2B8B" w:rsidRDefault="0087317A" w:rsidP="00FE04DC">
      <w:pPr>
        <w:pStyle w:val="ListParagraph"/>
        <w:numPr>
          <w:ilvl w:val="0"/>
          <w:numId w:val="3"/>
        </w:numPr>
        <w:spacing w:after="240" w:line="360" w:lineRule="auto"/>
        <w:ind w:left="1440"/>
        <w:rPr>
          <w:rFonts w:ascii="Arial" w:hAnsi="Arial" w:cs="Arial"/>
          <w:sz w:val="22"/>
          <w:szCs w:val="22"/>
        </w:rPr>
      </w:pPr>
      <w:r w:rsidRPr="00BA2B8B">
        <w:rPr>
          <w:rFonts w:ascii="Arial" w:hAnsi="Arial" w:cs="Arial"/>
          <w:sz w:val="22"/>
          <w:szCs w:val="22"/>
        </w:rPr>
        <w:t xml:space="preserve">It appears to the DRC that the subject matter or a part of the subject matter of the dispute is vexatious; </w:t>
      </w:r>
    </w:p>
    <w:p w:rsidR="0087317A" w:rsidRPr="00BA2B8B" w:rsidRDefault="0087317A" w:rsidP="00FE04DC">
      <w:pPr>
        <w:pStyle w:val="ListParagraph"/>
        <w:numPr>
          <w:ilvl w:val="0"/>
          <w:numId w:val="3"/>
        </w:numPr>
        <w:spacing w:after="240" w:line="360" w:lineRule="auto"/>
        <w:ind w:left="1440"/>
        <w:rPr>
          <w:rFonts w:ascii="Arial" w:hAnsi="Arial" w:cs="Arial"/>
          <w:sz w:val="22"/>
          <w:szCs w:val="22"/>
        </w:rPr>
      </w:pPr>
      <w:r w:rsidRPr="00BA2B8B">
        <w:rPr>
          <w:rFonts w:ascii="Arial" w:hAnsi="Arial" w:cs="Arial"/>
          <w:sz w:val="22"/>
          <w:szCs w:val="22"/>
        </w:rPr>
        <w:t>It appears to the DRC that it would be expedient for the Claimant to exhaust claim procedures in the relevant Consumer Claims Code; or</w:t>
      </w:r>
    </w:p>
    <w:p w:rsidR="0087317A" w:rsidRDefault="0087317A" w:rsidP="00FE04DC">
      <w:pPr>
        <w:pStyle w:val="ListParagraph"/>
        <w:numPr>
          <w:ilvl w:val="0"/>
          <w:numId w:val="3"/>
        </w:numPr>
        <w:spacing w:after="240" w:line="360" w:lineRule="auto"/>
        <w:ind w:left="1440"/>
        <w:rPr>
          <w:rFonts w:ascii="Arial" w:hAnsi="Arial" w:cs="Arial"/>
          <w:sz w:val="22"/>
          <w:szCs w:val="22"/>
        </w:rPr>
      </w:pPr>
      <w:r w:rsidRPr="00BA2B8B">
        <w:rPr>
          <w:rFonts w:ascii="Arial" w:hAnsi="Arial" w:cs="Arial"/>
          <w:sz w:val="22"/>
          <w:szCs w:val="22"/>
        </w:rPr>
        <w:lastRenderedPageBreak/>
        <w:t>It appears to the DRC that the subject matter or a part of the subject matter of the disputes is not necessary or desirable in the public interest.</w:t>
      </w:r>
    </w:p>
    <w:p w:rsidR="00725F49" w:rsidRPr="00BA2B8B" w:rsidRDefault="00725F49" w:rsidP="00725F49">
      <w:pPr>
        <w:pStyle w:val="ListParagraph"/>
        <w:spacing w:after="240" w:line="360" w:lineRule="auto"/>
        <w:ind w:left="1440"/>
        <w:rPr>
          <w:rFonts w:ascii="Arial" w:hAnsi="Arial" w:cs="Arial"/>
          <w:sz w:val="22"/>
          <w:szCs w:val="22"/>
        </w:rPr>
      </w:pPr>
    </w:p>
    <w:p w:rsidR="0087317A" w:rsidRPr="00BA2B8B" w:rsidRDefault="0087317A" w:rsidP="009F27CD">
      <w:pPr>
        <w:pStyle w:val="ListParagraph"/>
        <w:spacing w:line="360" w:lineRule="auto"/>
        <w:contextualSpacing w:val="0"/>
        <w:rPr>
          <w:rFonts w:ascii="Arial" w:hAnsi="Arial" w:cs="Arial"/>
          <w:sz w:val="22"/>
          <w:szCs w:val="22"/>
        </w:rPr>
      </w:pPr>
      <w:r w:rsidRPr="00BA2B8B">
        <w:rPr>
          <w:rFonts w:ascii="Arial" w:hAnsi="Arial" w:cs="Arial"/>
          <w:sz w:val="22"/>
          <w:szCs w:val="22"/>
        </w:rPr>
        <w:t>The DRC may only undertake settlement of a dispute between an operator and a subscriber where the subscriber has first made a reasonable effort to resolve the issue or complaint through the Complaint Handling Procedures of the provider of the electronic communications service or network operator.</w:t>
      </w:r>
    </w:p>
    <w:p w:rsidR="009F27CD" w:rsidRPr="00BA2B8B" w:rsidRDefault="009F27CD" w:rsidP="009F27CD">
      <w:pPr>
        <w:pStyle w:val="ListParagraph"/>
        <w:spacing w:line="360" w:lineRule="auto"/>
        <w:contextualSpacing w:val="0"/>
        <w:rPr>
          <w:rFonts w:ascii="Arial" w:hAnsi="Arial" w:cs="Arial"/>
          <w:sz w:val="22"/>
          <w:szCs w:val="22"/>
        </w:rPr>
      </w:pPr>
    </w:p>
    <w:p w:rsidR="0087317A" w:rsidRPr="00BA2B8B" w:rsidRDefault="0087317A" w:rsidP="00FE04DC">
      <w:pPr>
        <w:pStyle w:val="ListParagraph"/>
        <w:numPr>
          <w:ilvl w:val="0"/>
          <w:numId w:val="8"/>
        </w:numPr>
        <w:spacing w:line="360" w:lineRule="auto"/>
        <w:ind w:left="720" w:hanging="900"/>
        <w:rPr>
          <w:rFonts w:ascii="Arial" w:hAnsi="Arial" w:cs="Arial"/>
          <w:b/>
          <w:bCs/>
          <w:sz w:val="22"/>
          <w:szCs w:val="22"/>
        </w:rPr>
      </w:pPr>
      <w:r w:rsidRPr="00BA2B8B">
        <w:rPr>
          <w:rFonts w:ascii="Arial" w:hAnsi="Arial" w:cs="Arial"/>
          <w:b/>
          <w:bCs/>
          <w:sz w:val="22"/>
          <w:szCs w:val="22"/>
        </w:rPr>
        <w:t>SUBMISSION OF DISPUTES TO THE DRC</w:t>
      </w:r>
    </w:p>
    <w:p w:rsidR="0087317A" w:rsidRPr="00BA2B8B" w:rsidRDefault="0087317A" w:rsidP="0087317A">
      <w:pPr>
        <w:pStyle w:val="ListParagraph"/>
        <w:spacing w:line="360" w:lineRule="auto"/>
        <w:rPr>
          <w:rFonts w:ascii="Arial" w:hAnsi="Arial" w:cs="Arial"/>
          <w:b/>
          <w:bCs/>
          <w:sz w:val="22"/>
          <w:szCs w:val="22"/>
        </w:rPr>
      </w:pPr>
    </w:p>
    <w:p w:rsidR="0087317A" w:rsidRPr="00BA2B8B" w:rsidRDefault="0087317A" w:rsidP="00FE04DC">
      <w:pPr>
        <w:pStyle w:val="ListParagraph"/>
        <w:numPr>
          <w:ilvl w:val="1"/>
          <w:numId w:val="10"/>
        </w:numPr>
        <w:spacing w:after="160" w:line="360" w:lineRule="auto"/>
        <w:ind w:left="720" w:hanging="900"/>
        <w:rPr>
          <w:rFonts w:ascii="Arial" w:hAnsi="Arial" w:cs="Arial"/>
          <w:b/>
          <w:bCs/>
          <w:sz w:val="22"/>
          <w:szCs w:val="22"/>
        </w:rPr>
      </w:pPr>
      <w:r w:rsidRPr="00BA2B8B">
        <w:rPr>
          <w:rFonts w:ascii="Arial" w:hAnsi="Arial" w:cs="Arial"/>
          <w:sz w:val="22"/>
          <w:szCs w:val="22"/>
        </w:rPr>
        <w:t xml:space="preserve">If a consumer decides to file a claim with the DRC, he or she must file two (2) copies of the claim and pay the applicable fees. After filing the claim, the Claimant must ensure the Registrar serves copies of the claim on the Respondent(s). </w:t>
      </w:r>
    </w:p>
    <w:p w:rsidR="0087317A" w:rsidRPr="00BA2B8B" w:rsidRDefault="0087317A" w:rsidP="0087317A">
      <w:pPr>
        <w:pStyle w:val="ListParagraph"/>
        <w:ind w:left="900"/>
        <w:rPr>
          <w:rFonts w:ascii="Arial" w:hAnsi="Arial" w:cs="Arial"/>
          <w:sz w:val="22"/>
          <w:szCs w:val="22"/>
        </w:rPr>
      </w:pPr>
    </w:p>
    <w:p w:rsidR="0087317A" w:rsidRPr="00BA2B8B" w:rsidRDefault="0087317A" w:rsidP="0087317A">
      <w:pPr>
        <w:spacing w:line="360" w:lineRule="auto"/>
        <w:ind w:left="720" w:hanging="900"/>
        <w:jc w:val="both"/>
        <w:rPr>
          <w:rFonts w:ascii="Arial" w:hAnsi="Arial" w:cs="Arial"/>
          <w:b/>
          <w:bCs/>
        </w:rPr>
      </w:pPr>
      <w:r w:rsidRPr="00BA2B8B">
        <w:rPr>
          <w:rFonts w:ascii="Arial" w:hAnsi="Arial" w:cs="Arial"/>
        </w:rPr>
        <w:t>3.2</w:t>
      </w:r>
      <w:r w:rsidRPr="00BA2B8B">
        <w:rPr>
          <w:rFonts w:ascii="Arial" w:hAnsi="Arial" w:cs="Arial"/>
        </w:rPr>
        <w:tab/>
        <w:t>The claim is filed by completing and submitting the relevant DRC Form with the following details.</w:t>
      </w:r>
    </w:p>
    <w:p w:rsidR="0087317A" w:rsidRPr="00BA2B8B" w:rsidRDefault="0087317A" w:rsidP="00FE04DC">
      <w:pPr>
        <w:numPr>
          <w:ilvl w:val="0"/>
          <w:numId w:val="4"/>
        </w:numPr>
        <w:spacing w:before="240" w:after="240" w:line="360" w:lineRule="auto"/>
        <w:jc w:val="both"/>
        <w:rPr>
          <w:rFonts w:ascii="Arial" w:hAnsi="Arial" w:cs="Arial"/>
        </w:rPr>
      </w:pPr>
      <w:r w:rsidRPr="00BA2B8B">
        <w:rPr>
          <w:rFonts w:ascii="Arial" w:hAnsi="Arial" w:cs="Arial"/>
        </w:rPr>
        <w:t xml:space="preserve">The names, addresses and telephone numbers and email addresses of the parties to the dispute which will serve as the Claimant’s address for service; </w:t>
      </w:r>
    </w:p>
    <w:p w:rsidR="0087317A" w:rsidRPr="00BA2B8B" w:rsidRDefault="0087317A" w:rsidP="00FE04DC">
      <w:pPr>
        <w:numPr>
          <w:ilvl w:val="0"/>
          <w:numId w:val="4"/>
        </w:numPr>
        <w:spacing w:before="240" w:after="240" w:line="360" w:lineRule="auto"/>
        <w:jc w:val="both"/>
        <w:rPr>
          <w:rFonts w:ascii="Arial" w:hAnsi="Arial" w:cs="Arial"/>
        </w:rPr>
      </w:pPr>
      <w:r w:rsidRPr="00BA2B8B">
        <w:rPr>
          <w:rFonts w:ascii="Arial" w:hAnsi="Arial" w:cs="Arial"/>
        </w:rPr>
        <w:t xml:space="preserve">A statement of the nature of the dispute, </w:t>
      </w:r>
    </w:p>
    <w:p w:rsidR="0087317A" w:rsidRPr="00BA2B8B" w:rsidRDefault="0087317A" w:rsidP="00FE04DC">
      <w:pPr>
        <w:numPr>
          <w:ilvl w:val="0"/>
          <w:numId w:val="4"/>
        </w:numPr>
        <w:spacing w:before="240" w:after="240" w:line="360" w:lineRule="auto"/>
        <w:jc w:val="both"/>
        <w:rPr>
          <w:rFonts w:ascii="Arial" w:hAnsi="Arial" w:cs="Arial"/>
        </w:rPr>
      </w:pPr>
      <w:r w:rsidRPr="00BA2B8B">
        <w:rPr>
          <w:rFonts w:ascii="Arial" w:hAnsi="Arial" w:cs="Arial"/>
        </w:rPr>
        <w:t>The remedy or relief sought, including an amount claimed,</w:t>
      </w:r>
    </w:p>
    <w:p w:rsidR="0087317A" w:rsidRPr="00BA2B8B" w:rsidRDefault="0087317A" w:rsidP="00FE04DC">
      <w:pPr>
        <w:numPr>
          <w:ilvl w:val="0"/>
          <w:numId w:val="4"/>
        </w:numPr>
        <w:spacing w:before="240" w:after="240" w:line="360" w:lineRule="auto"/>
        <w:jc w:val="both"/>
        <w:rPr>
          <w:rFonts w:ascii="Arial" w:hAnsi="Arial" w:cs="Arial"/>
        </w:rPr>
      </w:pPr>
      <w:r w:rsidRPr="00BA2B8B">
        <w:rPr>
          <w:rFonts w:ascii="Arial" w:hAnsi="Arial" w:cs="Arial"/>
        </w:rPr>
        <w:t>The agreements or other documents relied on in support of the Claimant’s claim, and</w:t>
      </w:r>
    </w:p>
    <w:p w:rsidR="0087317A" w:rsidRPr="00BA2B8B" w:rsidRDefault="0087317A" w:rsidP="00FE04DC">
      <w:pPr>
        <w:numPr>
          <w:ilvl w:val="0"/>
          <w:numId w:val="4"/>
        </w:numPr>
        <w:spacing w:before="240" w:after="240" w:line="360" w:lineRule="auto"/>
        <w:jc w:val="both"/>
        <w:rPr>
          <w:rFonts w:ascii="Arial" w:hAnsi="Arial" w:cs="Arial"/>
        </w:rPr>
      </w:pPr>
      <w:r w:rsidRPr="00BA2B8B">
        <w:rPr>
          <w:rFonts w:ascii="Arial" w:hAnsi="Arial" w:cs="Arial"/>
        </w:rPr>
        <w:t>Any other relevant information.</w:t>
      </w:r>
    </w:p>
    <w:p w:rsidR="0087317A" w:rsidRPr="00BA2B8B" w:rsidRDefault="0087317A" w:rsidP="0087317A">
      <w:pPr>
        <w:spacing w:before="240" w:after="240" w:line="360" w:lineRule="auto"/>
        <w:ind w:left="720" w:hanging="900"/>
        <w:jc w:val="both"/>
        <w:rPr>
          <w:rFonts w:ascii="Arial" w:hAnsi="Arial" w:cs="Arial"/>
        </w:rPr>
      </w:pPr>
      <w:r w:rsidRPr="00BA2B8B">
        <w:rPr>
          <w:rFonts w:ascii="Arial" w:hAnsi="Arial" w:cs="Arial"/>
        </w:rPr>
        <w:t>3.3</w:t>
      </w:r>
      <w:r w:rsidRPr="00BA2B8B">
        <w:rPr>
          <w:rFonts w:ascii="Arial" w:hAnsi="Arial" w:cs="Arial"/>
        </w:rPr>
        <w:tab/>
        <w:t>The claim may be filed electronically by sending the completed claim Form to the following email address [insert email address] or by uploading the claim Form with supporting documents on a digital platform designated by the Registrar.</w:t>
      </w:r>
    </w:p>
    <w:p w:rsidR="0087317A" w:rsidRDefault="0087317A" w:rsidP="0087317A">
      <w:pPr>
        <w:spacing w:before="240" w:after="240" w:line="360" w:lineRule="auto"/>
        <w:ind w:left="810" w:hanging="990"/>
        <w:jc w:val="both"/>
        <w:rPr>
          <w:rFonts w:ascii="Arial" w:hAnsi="Arial" w:cs="Arial"/>
        </w:rPr>
      </w:pPr>
      <w:r w:rsidRPr="00BA2B8B">
        <w:rPr>
          <w:rFonts w:ascii="Arial" w:hAnsi="Arial" w:cs="Arial"/>
        </w:rPr>
        <w:t>3.4</w:t>
      </w:r>
      <w:r w:rsidRPr="00BA2B8B">
        <w:rPr>
          <w:rFonts w:ascii="Arial" w:hAnsi="Arial" w:cs="Arial"/>
        </w:rPr>
        <w:tab/>
        <w:t>Once a claim is filed before the DRC, the DRC has the jurisdiction to decide on it. Thus, a Respondent who has a challenge to the jurisdiction of the DRC (for whatever reason), must timeously serve the DRC with notice specifying the grounds for the challenge.</w:t>
      </w:r>
    </w:p>
    <w:p w:rsidR="00BA2B8B" w:rsidRPr="00BA2B8B" w:rsidRDefault="00BA2B8B" w:rsidP="0087317A">
      <w:pPr>
        <w:spacing w:before="240" w:after="240" w:line="360" w:lineRule="auto"/>
        <w:ind w:left="810" w:hanging="990"/>
        <w:jc w:val="both"/>
        <w:rPr>
          <w:rFonts w:ascii="Arial" w:hAnsi="Arial" w:cs="Arial"/>
        </w:rPr>
      </w:pPr>
    </w:p>
    <w:p w:rsidR="0087317A" w:rsidRPr="00BA2B8B" w:rsidRDefault="0087317A" w:rsidP="00FE04DC">
      <w:pPr>
        <w:pStyle w:val="ListParagraph"/>
        <w:numPr>
          <w:ilvl w:val="0"/>
          <w:numId w:val="8"/>
        </w:numPr>
        <w:spacing w:before="240" w:after="240" w:line="360" w:lineRule="auto"/>
        <w:ind w:left="720" w:hanging="720"/>
        <w:rPr>
          <w:rFonts w:ascii="Arial" w:hAnsi="Arial" w:cs="Arial"/>
          <w:b/>
          <w:bCs/>
          <w:sz w:val="22"/>
          <w:szCs w:val="22"/>
        </w:rPr>
      </w:pPr>
      <w:r w:rsidRPr="00BA2B8B">
        <w:rPr>
          <w:rFonts w:ascii="Arial" w:hAnsi="Arial" w:cs="Arial"/>
          <w:b/>
          <w:bCs/>
          <w:sz w:val="22"/>
          <w:szCs w:val="22"/>
        </w:rPr>
        <w:lastRenderedPageBreak/>
        <w:t>Dispute Resolution Process</w:t>
      </w:r>
    </w:p>
    <w:p w:rsidR="0087317A" w:rsidRPr="00BA2B8B" w:rsidRDefault="0087317A" w:rsidP="0087317A">
      <w:pPr>
        <w:spacing w:before="240" w:after="240" w:line="360" w:lineRule="auto"/>
        <w:ind w:left="720" w:hanging="720"/>
        <w:jc w:val="both"/>
        <w:rPr>
          <w:rFonts w:ascii="Arial" w:hAnsi="Arial" w:cs="Arial"/>
        </w:rPr>
      </w:pPr>
      <w:r w:rsidRPr="00BA2B8B">
        <w:rPr>
          <w:rFonts w:ascii="Arial" w:hAnsi="Arial" w:cs="Arial"/>
          <w:bCs/>
        </w:rPr>
        <w:t>4.1</w:t>
      </w:r>
      <w:r w:rsidRPr="00BA2B8B">
        <w:rPr>
          <w:rFonts w:ascii="Arial" w:hAnsi="Arial" w:cs="Arial"/>
          <w:b/>
          <w:bCs/>
        </w:rPr>
        <w:tab/>
      </w:r>
      <w:r w:rsidRPr="00BA2B8B">
        <w:rPr>
          <w:rFonts w:ascii="Arial" w:hAnsi="Arial" w:cs="Arial"/>
        </w:rPr>
        <w:t xml:space="preserve">The DRC has the power to determine how the hearing may be conducted. It may be in person or virtual. But each party must have adequate notice of the trial and must be given equal opportunity to present its case. </w:t>
      </w:r>
    </w:p>
    <w:p w:rsidR="0087317A" w:rsidRPr="00BA2B8B" w:rsidRDefault="0087317A" w:rsidP="0087317A">
      <w:pPr>
        <w:spacing w:before="240" w:after="240" w:line="360" w:lineRule="auto"/>
        <w:ind w:left="720" w:hanging="720"/>
        <w:jc w:val="both"/>
        <w:rPr>
          <w:rFonts w:ascii="Arial" w:hAnsi="Arial" w:cs="Arial"/>
          <w:b/>
          <w:bCs/>
        </w:rPr>
      </w:pPr>
      <w:r w:rsidRPr="00BA2B8B">
        <w:rPr>
          <w:rFonts w:ascii="Arial" w:hAnsi="Arial" w:cs="Arial"/>
          <w:bCs/>
        </w:rPr>
        <w:t xml:space="preserve">4.2 </w:t>
      </w:r>
      <w:r w:rsidRPr="00BA2B8B">
        <w:rPr>
          <w:rFonts w:ascii="Arial" w:hAnsi="Arial" w:cs="Arial"/>
          <w:b/>
          <w:bCs/>
        </w:rPr>
        <w:tab/>
      </w:r>
      <w:r w:rsidRPr="00BA2B8B">
        <w:rPr>
          <w:rFonts w:ascii="Arial" w:hAnsi="Arial" w:cs="Arial"/>
        </w:rPr>
        <w:t>If the DRC on its own or pursuant to the agreement of the parties determines that the matter may be more efficiently determined by the conduct of the hearing based on documents and other material evidence, it shall dispense with the need to conduct oral hearing.</w:t>
      </w:r>
    </w:p>
    <w:p w:rsidR="0087317A" w:rsidRPr="00BA2B8B" w:rsidRDefault="0087317A" w:rsidP="0087317A">
      <w:pPr>
        <w:spacing w:before="240" w:after="240" w:line="360" w:lineRule="auto"/>
        <w:ind w:left="720" w:hanging="720"/>
        <w:jc w:val="both"/>
        <w:rPr>
          <w:rFonts w:ascii="Arial" w:hAnsi="Arial" w:cs="Arial"/>
          <w:b/>
          <w:bCs/>
        </w:rPr>
      </w:pPr>
      <w:r w:rsidRPr="00BA2B8B">
        <w:rPr>
          <w:rFonts w:ascii="Arial" w:hAnsi="Arial" w:cs="Arial"/>
          <w:bCs/>
        </w:rPr>
        <w:t>4.3</w:t>
      </w:r>
      <w:r w:rsidRPr="00BA2B8B">
        <w:rPr>
          <w:rFonts w:ascii="Arial" w:hAnsi="Arial" w:cs="Arial"/>
          <w:b/>
          <w:bCs/>
        </w:rPr>
        <w:t xml:space="preserve"> </w:t>
      </w:r>
      <w:r w:rsidRPr="00BA2B8B">
        <w:rPr>
          <w:rFonts w:ascii="Arial" w:hAnsi="Arial" w:cs="Arial"/>
          <w:b/>
          <w:bCs/>
        </w:rPr>
        <w:tab/>
      </w:r>
      <w:r w:rsidRPr="00BA2B8B">
        <w:rPr>
          <w:rFonts w:ascii="Arial" w:hAnsi="Arial" w:cs="Arial"/>
        </w:rPr>
        <w:t>To ensure this equality, the Rules require the DRC to ensure that each party is duly notified of the hearing at least seven (7) working days before the date for the hearing through their email addresses.</w:t>
      </w:r>
    </w:p>
    <w:p w:rsidR="0087317A" w:rsidRPr="00BA2B8B" w:rsidRDefault="0087317A" w:rsidP="0087317A">
      <w:pPr>
        <w:spacing w:before="240" w:after="240" w:line="360" w:lineRule="auto"/>
        <w:ind w:left="720" w:hanging="720"/>
        <w:jc w:val="both"/>
        <w:rPr>
          <w:rFonts w:ascii="Arial" w:hAnsi="Arial" w:cs="Arial"/>
        </w:rPr>
      </w:pPr>
      <w:r w:rsidRPr="00BA2B8B">
        <w:rPr>
          <w:rFonts w:ascii="Arial" w:hAnsi="Arial" w:cs="Arial"/>
          <w:bCs/>
        </w:rPr>
        <w:t>4.4</w:t>
      </w:r>
      <w:r w:rsidRPr="00BA2B8B">
        <w:rPr>
          <w:rFonts w:ascii="Arial" w:hAnsi="Arial" w:cs="Arial"/>
          <w:b/>
          <w:bCs/>
        </w:rPr>
        <w:tab/>
      </w:r>
      <w:r w:rsidRPr="00BA2B8B">
        <w:rPr>
          <w:rFonts w:ascii="Arial" w:hAnsi="Arial" w:cs="Arial"/>
        </w:rPr>
        <w:t xml:space="preserve">A party who requires the services of a translator must inform the Registrar in good time for the Registrar to procure the services of a qualified translator at the cost of the requesting party. However, where the requesting party is an individual consumer (a natural person), the Authority may bear the cost of procuring the services of a translator if it is satisfied that the consumer cannot afford the services of a translator. </w:t>
      </w:r>
      <w:bookmarkStart w:id="2" w:name="_Toc143950641"/>
    </w:p>
    <w:p w:rsidR="0087317A" w:rsidRPr="00BA2B8B" w:rsidRDefault="0087317A" w:rsidP="0087317A">
      <w:pPr>
        <w:spacing w:before="240" w:after="240" w:line="360" w:lineRule="auto"/>
        <w:ind w:left="720" w:hanging="720"/>
        <w:jc w:val="both"/>
        <w:rPr>
          <w:rFonts w:ascii="Arial" w:hAnsi="Arial" w:cs="Arial"/>
          <w:b/>
          <w:bCs/>
        </w:rPr>
      </w:pPr>
      <w:r w:rsidRPr="00BA2B8B">
        <w:rPr>
          <w:rFonts w:ascii="Arial" w:hAnsi="Arial" w:cs="Arial"/>
          <w:bCs/>
        </w:rPr>
        <w:t>4.5</w:t>
      </w:r>
      <w:r w:rsidRPr="00BA2B8B">
        <w:rPr>
          <w:rFonts w:ascii="Arial" w:hAnsi="Arial" w:cs="Arial"/>
          <w:b/>
          <w:bCs/>
        </w:rPr>
        <w:tab/>
        <w:t>Opening statements</w:t>
      </w:r>
      <w:bookmarkEnd w:id="2"/>
    </w:p>
    <w:p w:rsidR="0087317A" w:rsidRPr="00BA2B8B" w:rsidRDefault="0087317A" w:rsidP="0087317A">
      <w:pPr>
        <w:spacing w:before="240" w:after="240" w:line="360" w:lineRule="auto"/>
        <w:ind w:left="720"/>
        <w:jc w:val="both"/>
        <w:rPr>
          <w:rFonts w:ascii="Arial" w:hAnsi="Arial" w:cs="Arial"/>
        </w:rPr>
      </w:pPr>
      <w:r w:rsidRPr="00BA2B8B">
        <w:rPr>
          <w:rFonts w:ascii="Arial" w:hAnsi="Arial" w:cs="Arial"/>
        </w:rPr>
        <w:t>The essence of the opening statement is to give each party the opportunity to put forward the theory of their case, clarify the issues to be resolved and possibly provide a roadmap on how they intend to prove their case. It is not expected that parties would make their full arguments at this stage. Thus, the DRC may set a time limit for each party to make its opening statement or, with the agreement of the parties, waive it altogether.</w:t>
      </w:r>
    </w:p>
    <w:p w:rsidR="0087317A" w:rsidRPr="00BA2B8B" w:rsidRDefault="0087317A" w:rsidP="0087317A">
      <w:pPr>
        <w:pStyle w:val="SectionSubheading"/>
        <w:numPr>
          <w:ilvl w:val="0"/>
          <w:numId w:val="0"/>
        </w:numPr>
        <w:spacing w:before="240" w:after="240" w:line="360" w:lineRule="auto"/>
        <w:ind w:left="720" w:hanging="720"/>
        <w:jc w:val="both"/>
        <w:outlineLvl w:val="1"/>
        <w:rPr>
          <w:rFonts w:cs="Arial"/>
          <w:b/>
          <w:bCs/>
        </w:rPr>
      </w:pPr>
      <w:bookmarkStart w:id="3" w:name="_Toc143950642"/>
      <w:r w:rsidRPr="00BA2B8B">
        <w:rPr>
          <w:rFonts w:cs="Arial"/>
          <w:bCs/>
        </w:rPr>
        <w:t>4.6</w:t>
      </w:r>
      <w:r w:rsidRPr="00BA2B8B">
        <w:rPr>
          <w:rFonts w:cs="Arial"/>
          <w:b/>
          <w:bCs/>
        </w:rPr>
        <w:tab/>
        <w:t>Taking of Evidence</w:t>
      </w:r>
      <w:bookmarkEnd w:id="3"/>
    </w:p>
    <w:p w:rsidR="0087317A" w:rsidRPr="00BA2B8B" w:rsidRDefault="0087317A" w:rsidP="0087317A">
      <w:pPr>
        <w:spacing w:before="240" w:after="240" w:line="360" w:lineRule="auto"/>
        <w:ind w:left="720"/>
        <w:jc w:val="both"/>
        <w:rPr>
          <w:rFonts w:ascii="Arial" w:hAnsi="Arial" w:cs="Arial"/>
        </w:rPr>
      </w:pPr>
      <w:r w:rsidRPr="00BA2B8B">
        <w:rPr>
          <w:rFonts w:ascii="Arial" w:hAnsi="Arial" w:cs="Arial"/>
        </w:rPr>
        <w:t>After the opening statements, the parties will then take turns to present their evidence and witnesses to the DRC, with the Claimant beginning the process. To save time, parties are expected to file witness statements of all the witnesses they intend to call at the hearing ahead of time. At the hearing, the witness statement will be adopted as the evidence of the witness. The lawyer for the opposing party will then cross-examine the witness. After the cross-examination, the lawyer for the party who called the witness may choose to re-</w:t>
      </w:r>
      <w:r w:rsidRPr="00BA2B8B">
        <w:rPr>
          <w:rFonts w:ascii="Arial" w:hAnsi="Arial" w:cs="Arial"/>
        </w:rPr>
        <w:lastRenderedPageBreak/>
        <w:t>examine the witness. These processes of examination begin with the Claimant’s witnesses and follow with the Respondent’s witnesses. The DRC may examine the witnesses and call expert witnesses of its own.</w:t>
      </w:r>
    </w:p>
    <w:p w:rsidR="0087317A" w:rsidRPr="00BA2B8B" w:rsidRDefault="0087317A" w:rsidP="0087317A">
      <w:pPr>
        <w:pStyle w:val="SectionSubheading"/>
        <w:numPr>
          <w:ilvl w:val="0"/>
          <w:numId w:val="0"/>
        </w:numPr>
        <w:spacing w:before="240" w:after="240" w:line="360" w:lineRule="auto"/>
        <w:ind w:left="720" w:hanging="720"/>
        <w:jc w:val="both"/>
        <w:outlineLvl w:val="1"/>
        <w:rPr>
          <w:rFonts w:cs="Arial"/>
          <w:b/>
          <w:bCs/>
        </w:rPr>
      </w:pPr>
      <w:bookmarkStart w:id="4" w:name="_Toc143950643"/>
      <w:r w:rsidRPr="00BA2B8B">
        <w:rPr>
          <w:rFonts w:cs="Arial"/>
          <w:bCs/>
        </w:rPr>
        <w:t>4.7</w:t>
      </w:r>
      <w:r w:rsidRPr="00BA2B8B">
        <w:rPr>
          <w:rFonts w:cs="Arial"/>
          <w:b/>
          <w:bCs/>
        </w:rPr>
        <w:tab/>
        <w:t>Closing Arguments/Written Submissions</w:t>
      </w:r>
      <w:bookmarkEnd w:id="4"/>
      <w:r w:rsidRPr="00BA2B8B">
        <w:rPr>
          <w:rFonts w:cs="Arial"/>
          <w:b/>
          <w:bCs/>
        </w:rPr>
        <w:t xml:space="preserve"> </w:t>
      </w:r>
    </w:p>
    <w:p w:rsidR="0087317A" w:rsidRPr="00BA2B8B" w:rsidRDefault="0087317A" w:rsidP="0087317A">
      <w:pPr>
        <w:spacing w:before="240" w:after="240" w:line="360" w:lineRule="auto"/>
        <w:ind w:left="720"/>
        <w:jc w:val="both"/>
        <w:rPr>
          <w:rFonts w:ascii="Arial" w:hAnsi="Arial" w:cs="Arial"/>
        </w:rPr>
      </w:pPr>
      <w:r w:rsidRPr="00BA2B8B">
        <w:rPr>
          <w:rFonts w:ascii="Arial" w:hAnsi="Arial" w:cs="Arial"/>
        </w:rPr>
        <w:t>After evidence has been taken, the parties may then summarise their entire case and legal arguments in a written submission. The DRC is expected to direct the parties on when to file the submissions. The submissions will highlight the legal arguments together with the evidence the parties have presented.</w:t>
      </w:r>
    </w:p>
    <w:p w:rsidR="0087317A" w:rsidRPr="00BA2B8B" w:rsidRDefault="0087317A" w:rsidP="0087317A">
      <w:pPr>
        <w:pStyle w:val="SectionSubheading"/>
        <w:numPr>
          <w:ilvl w:val="0"/>
          <w:numId w:val="0"/>
        </w:numPr>
        <w:spacing w:before="240" w:after="240" w:line="360" w:lineRule="auto"/>
        <w:ind w:left="720" w:hanging="720"/>
        <w:jc w:val="both"/>
        <w:outlineLvl w:val="1"/>
        <w:rPr>
          <w:rFonts w:cs="Arial"/>
          <w:b/>
          <w:bCs/>
        </w:rPr>
      </w:pPr>
      <w:bookmarkStart w:id="5" w:name="_Toc143950645"/>
      <w:r w:rsidRPr="00BA2B8B">
        <w:rPr>
          <w:rFonts w:cs="Arial"/>
          <w:bCs/>
        </w:rPr>
        <w:t>4.8</w:t>
      </w:r>
      <w:r w:rsidRPr="00BA2B8B">
        <w:rPr>
          <w:rFonts w:cs="Arial"/>
          <w:b/>
          <w:bCs/>
        </w:rPr>
        <w:tab/>
        <w:t>Award</w:t>
      </w:r>
      <w:bookmarkEnd w:id="5"/>
    </w:p>
    <w:p w:rsidR="0087317A" w:rsidRPr="00BA2B8B" w:rsidRDefault="0087317A" w:rsidP="0087317A">
      <w:pPr>
        <w:spacing w:before="240" w:after="240" w:line="360" w:lineRule="auto"/>
        <w:ind w:left="720" w:hanging="720"/>
        <w:jc w:val="both"/>
        <w:rPr>
          <w:rFonts w:ascii="Arial" w:hAnsi="Arial" w:cs="Arial"/>
        </w:rPr>
      </w:pPr>
      <w:r w:rsidRPr="00BA2B8B">
        <w:rPr>
          <w:rFonts w:ascii="Arial" w:hAnsi="Arial" w:cs="Arial"/>
        </w:rPr>
        <w:t>4.8.1</w:t>
      </w:r>
      <w:r w:rsidRPr="00BA2B8B">
        <w:rPr>
          <w:rFonts w:ascii="Arial" w:hAnsi="Arial" w:cs="Arial"/>
        </w:rPr>
        <w:tab/>
        <w:t xml:space="preserve">After the parties submit their written legal submissions, the DRC will formally close the hearing and is expected to deliver its Award within 14 days after the close of hearing. All Awards must be in writing and must state the reasons for the conclusions made by the DRC. </w:t>
      </w:r>
    </w:p>
    <w:p w:rsidR="0087317A" w:rsidRPr="00BA2B8B" w:rsidRDefault="0087317A" w:rsidP="0087317A">
      <w:pPr>
        <w:spacing w:before="240" w:after="240" w:line="360" w:lineRule="auto"/>
        <w:ind w:left="720" w:hanging="720"/>
        <w:jc w:val="both"/>
        <w:rPr>
          <w:rFonts w:ascii="Arial" w:hAnsi="Arial" w:cs="Arial"/>
        </w:rPr>
      </w:pPr>
      <w:r w:rsidRPr="00BA2B8B">
        <w:rPr>
          <w:rFonts w:ascii="Arial" w:hAnsi="Arial" w:cs="Arial"/>
        </w:rPr>
        <w:t>4.8.2</w:t>
      </w:r>
      <w:r w:rsidRPr="00BA2B8B">
        <w:rPr>
          <w:rFonts w:ascii="Arial" w:hAnsi="Arial" w:cs="Arial"/>
        </w:rPr>
        <w:tab/>
        <w:t>The decision of the DRC is made either by a unanimous decision or by simple majority. Where there is a dissenting opinion, the member dissenting must also state the reasons for the dissent, and this must be included in the Award to be submitted to the NCA.</w:t>
      </w:r>
    </w:p>
    <w:p w:rsidR="0087317A" w:rsidRPr="00BA2B8B" w:rsidRDefault="0087317A" w:rsidP="0087317A">
      <w:pPr>
        <w:spacing w:before="240" w:after="240" w:line="360" w:lineRule="auto"/>
        <w:ind w:left="720" w:hanging="720"/>
        <w:jc w:val="both"/>
        <w:rPr>
          <w:rFonts w:ascii="Arial" w:hAnsi="Arial" w:cs="Arial"/>
        </w:rPr>
      </w:pPr>
      <w:r w:rsidRPr="00BA2B8B">
        <w:rPr>
          <w:rFonts w:ascii="Arial" w:hAnsi="Arial" w:cs="Arial"/>
        </w:rPr>
        <w:t>4.8.3</w:t>
      </w:r>
      <w:r w:rsidRPr="00BA2B8B">
        <w:rPr>
          <w:rFonts w:ascii="Arial" w:hAnsi="Arial" w:cs="Arial"/>
        </w:rPr>
        <w:tab/>
      </w:r>
      <w:bookmarkStart w:id="6" w:name="_Toc143950646"/>
      <w:r w:rsidRPr="00BA2B8B">
        <w:rPr>
          <w:rFonts w:ascii="Arial" w:hAnsi="Arial" w:cs="Arial"/>
        </w:rPr>
        <w:t>If parties voluntarily settle the dispute before an Award is rendered, then the settlement agreement must be submitted to the DRC, and the DRC must adopt the terms of the agreement as its Award which will be binding on the parties.</w:t>
      </w:r>
    </w:p>
    <w:p w:rsidR="0087317A" w:rsidRPr="00BA2B8B" w:rsidRDefault="0087317A" w:rsidP="0087317A">
      <w:pPr>
        <w:spacing w:before="240" w:after="240" w:line="360" w:lineRule="auto"/>
        <w:ind w:left="720" w:hanging="720"/>
        <w:jc w:val="both"/>
        <w:rPr>
          <w:rFonts w:ascii="Arial" w:hAnsi="Arial" w:cs="Arial"/>
        </w:rPr>
      </w:pPr>
      <w:r w:rsidRPr="00BA2B8B">
        <w:rPr>
          <w:rFonts w:ascii="Arial" w:hAnsi="Arial" w:cs="Arial"/>
        </w:rPr>
        <w:t>4.8.4</w:t>
      </w:r>
      <w:r w:rsidRPr="00BA2B8B">
        <w:rPr>
          <w:rFonts w:ascii="Arial" w:hAnsi="Arial" w:cs="Arial"/>
        </w:rPr>
        <w:tab/>
        <w:t>The decision of the DRC may include the grant of the relief or remedy sought in the claim or counterclaim or any other relief or remedy that the DRC considers just, based on the evidence presented before it. The relief or remedy may include:</w:t>
      </w:r>
    </w:p>
    <w:p w:rsidR="0087317A" w:rsidRPr="00BA2B8B" w:rsidRDefault="0087317A" w:rsidP="00FE04DC">
      <w:pPr>
        <w:numPr>
          <w:ilvl w:val="0"/>
          <w:numId w:val="11"/>
        </w:numPr>
        <w:spacing w:before="240" w:after="240" w:line="240" w:lineRule="auto"/>
        <w:jc w:val="both"/>
        <w:rPr>
          <w:rFonts w:ascii="Arial" w:hAnsi="Arial" w:cs="Arial"/>
        </w:rPr>
      </w:pPr>
      <w:r w:rsidRPr="00BA2B8B">
        <w:rPr>
          <w:rFonts w:ascii="Arial" w:hAnsi="Arial" w:cs="Arial"/>
        </w:rPr>
        <w:t xml:space="preserve">damages; </w:t>
      </w:r>
    </w:p>
    <w:p w:rsidR="0087317A" w:rsidRPr="00BA2B8B" w:rsidRDefault="0087317A" w:rsidP="00FE04DC">
      <w:pPr>
        <w:numPr>
          <w:ilvl w:val="0"/>
          <w:numId w:val="11"/>
        </w:numPr>
        <w:spacing w:before="240" w:after="240" w:line="240" w:lineRule="auto"/>
        <w:jc w:val="both"/>
        <w:rPr>
          <w:rFonts w:ascii="Arial" w:hAnsi="Arial" w:cs="Arial"/>
        </w:rPr>
      </w:pPr>
      <w:r w:rsidRPr="00BA2B8B">
        <w:rPr>
          <w:rFonts w:ascii="Arial" w:hAnsi="Arial" w:cs="Arial"/>
        </w:rPr>
        <w:t xml:space="preserve">a relief specified in an agreement between the parties relevant to the dispute; </w:t>
      </w:r>
    </w:p>
    <w:p w:rsidR="0087317A" w:rsidRPr="00BA2B8B" w:rsidRDefault="0087317A" w:rsidP="00FE04DC">
      <w:pPr>
        <w:numPr>
          <w:ilvl w:val="0"/>
          <w:numId w:val="11"/>
        </w:numPr>
        <w:spacing w:before="240" w:after="240" w:line="240" w:lineRule="auto"/>
        <w:jc w:val="both"/>
        <w:rPr>
          <w:rFonts w:ascii="Arial" w:hAnsi="Arial" w:cs="Arial"/>
        </w:rPr>
      </w:pPr>
      <w:r w:rsidRPr="00BA2B8B">
        <w:rPr>
          <w:rFonts w:ascii="Arial" w:hAnsi="Arial" w:cs="Arial"/>
        </w:rPr>
        <w:t xml:space="preserve">an order for specific performance under a relevant agreement; or </w:t>
      </w:r>
    </w:p>
    <w:p w:rsidR="0087317A" w:rsidRDefault="0087317A" w:rsidP="00FE04DC">
      <w:pPr>
        <w:numPr>
          <w:ilvl w:val="0"/>
          <w:numId w:val="11"/>
        </w:numPr>
        <w:spacing w:before="240" w:after="240" w:line="360" w:lineRule="auto"/>
        <w:jc w:val="both"/>
        <w:rPr>
          <w:rFonts w:ascii="Arial" w:hAnsi="Arial" w:cs="Arial"/>
        </w:rPr>
      </w:pPr>
      <w:proofErr w:type="gramStart"/>
      <w:r w:rsidRPr="00BA2B8B">
        <w:rPr>
          <w:rFonts w:ascii="Arial" w:hAnsi="Arial" w:cs="Arial"/>
        </w:rPr>
        <w:t>an</w:t>
      </w:r>
      <w:proofErr w:type="gramEnd"/>
      <w:r w:rsidRPr="00BA2B8B">
        <w:rPr>
          <w:rFonts w:ascii="Arial" w:hAnsi="Arial" w:cs="Arial"/>
        </w:rPr>
        <w:t xml:space="preserve"> amendment or revocation of an agreement. </w:t>
      </w:r>
    </w:p>
    <w:p w:rsidR="00BA2B8B" w:rsidRPr="00BA2B8B" w:rsidRDefault="00BA2B8B" w:rsidP="00BA2B8B">
      <w:pPr>
        <w:spacing w:before="240" w:after="240" w:line="360" w:lineRule="auto"/>
        <w:ind w:left="1080"/>
        <w:jc w:val="both"/>
        <w:rPr>
          <w:rFonts w:ascii="Arial" w:hAnsi="Arial" w:cs="Arial"/>
        </w:rPr>
      </w:pPr>
    </w:p>
    <w:p w:rsidR="0087317A" w:rsidRPr="00BA2B8B" w:rsidRDefault="0087317A" w:rsidP="00FE04DC">
      <w:pPr>
        <w:pStyle w:val="SectionSubheading"/>
        <w:numPr>
          <w:ilvl w:val="0"/>
          <w:numId w:val="8"/>
        </w:numPr>
        <w:spacing w:before="240" w:after="240" w:line="360" w:lineRule="auto"/>
        <w:ind w:left="720" w:hanging="720"/>
        <w:jc w:val="both"/>
        <w:outlineLvl w:val="1"/>
        <w:rPr>
          <w:rFonts w:cs="Arial"/>
          <w:b/>
          <w:bCs/>
        </w:rPr>
      </w:pPr>
      <w:bookmarkStart w:id="7" w:name="_Toc143950647"/>
      <w:bookmarkEnd w:id="6"/>
      <w:r w:rsidRPr="00BA2B8B">
        <w:rPr>
          <w:rFonts w:cs="Arial"/>
          <w:b/>
          <w:bCs/>
        </w:rPr>
        <w:lastRenderedPageBreak/>
        <w:t>Appeal Process</w:t>
      </w:r>
      <w:bookmarkEnd w:id="7"/>
    </w:p>
    <w:p w:rsidR="0087317A" w:rsidRPr="00BA2B8B" w:rsidRDefault="0087317A" w:rsidP="0087317A">
      <w:pPr>
        <w:spacing w:before="240" w:after="240" w:line="360" w:lineRule="auto"/>
        <w:ind w:left="720" w:hanging="720"/>
        <w:jc w:val="both"/>
        <w:rPr>
          <w:rFonts w:ascii="Arial" w:hAnsi="Arial" w:cs="Arial"/>
        </w:rPr>
      </w:pPr>
      <w:r w:rsidRPr="00BA2B8B">
        <w:rPr>
          <w:rFonts w:ascii="Arial" w:hAnsi="Arial" w:cs="Arial"/>
        </w:rPr>
        <w:t xml:space="preserve">5.1 </w:t>
      </w:r>
      <w:r w:rsidRPr="00BA2B8B">
        <w:rPr>
          <w:rFonts w:ascii="Arial" w:hAnsi="Arial" w:cs="Arial"/>
        </w:rPr>
        <w:tab/>
        <w:t>A party who is dissatisfied with the Award may appeal against the DRC’s decision to the Electronic Communications Tribunal (the ECT) within 28 days from the date of receipt of the DRC’s Award.</w:t>
      </w:r>
      <w:r w:rsidRPr="00BA2B8B">
        <w:rPr>
          <w:rStyle w:val="FootnoteReference"/>
          <w:rFonts w:ascii="Arial" w:hAnsi="Arial" w:cs="Arial"/>
        </w:rPr>
        <w:footnoteReference w:id="1"/>
      </w:r>
      <w:r w:rsidRPr="00BA2B8B">
        <w:rPr>
          <w:rFonts w:ascii="Arial" w:hAnsi="Arial" w:cs="Arial"/>
        </w:rPr>
        <w:t xml:space="preserve"> The notice of appeal must contain the following details.</w:t>
      </w:r>
    </w:p>
    <w:p w:rsidR="0087317A" w:rsidRPr="00BA2B8B" w:rsidRDefault="0087317A" w:rsidP="00FE04DC">
      <w:pPr>
        <w:pStyle w:val="ListParagraph"/>
        <w:numPr>
          <w:ilvl w:val="0"/>
          <w:numId w:val="5"/>
        </w:numPr>
        <w:spacing w:before="240" w:after="240" w:line="360" w:lineRule="auto"/>
        <w:rPr>
          <w:rFonts w:ascii="Arial" w:hAnsi="Arial" w:cs="Arial"/>
          <w:sz w:val="22"/>
          <w:szCs w:val="22"/>
        </w:rPr>
      </w:pPr>
      <w:r w:rsidRPr="00BA2B8B">
        <w:rPr>
          <w:rFonts w:ascii="Arial" w:hAnsi="Arial" w:cs="Arial"/>
          <w:sz w:val="22"/>
          <w:szCs w:val="22"/>
        </w:rPr>
        <w:t xml:space="preserve">the decision appealed against, </w:t>
      </w:r>
    </w:p>
    <w:p w:rsidR="0087317A" w:rsidRPr="00BA2B8B" w:rsidRDefault="0087317A" w:rsidP="00FE04DC">
      <w:pPr>
        <w:pStyle w:val="ListParagraph"/>
        <w:numPr>
          <w:ilvl w:val="0"/>
          <w:numId w:val="5"/>
        </w:numPr>
        <w:spacing w:before="240" w:after="240" w:line="360" w:lineRule="auto"/>
        <w:rPr>
          <w:rFonts w:ascii="Arial" w:hAnsi="Arial" w:cs="Arial"/>
          <w:sz w:val="22"/>
          <w:szCs w:val="22"/>
        </w:rPr>
      </w:pPr>
      <w:r w:rsidRPr="00BA2B8B">
        <w:rPr>
          <w:rFonts w:ascii="Arial" w:hAnsi="Arial" w:cs="Arial"/>
          <w:sz w:val="22"/>
          <w:szCs w:val="22"/>
        </w:rPr>
        <w:t xml:space="preserve">the provision under which the decision appealed against was taken, and </w:t>
      </w:r>
    </w:p>
    <w:p w:rsidR="0087317A" w:rsidRPr="00BA2B8B" w:rsidRDefault="0087317A" w:rsidP="00FE04DC">
      <w:pPr>
        <w:pStyle w:val="ListParagraph"/>
        <w:numPr>
          <w:ilvl w:val="0"/>
          <w:numId w:val="5"/>
        </w:numPr>
        <w:spacing w:before="240" w:after="240" w:line="360" w:lineRule="auto"/>
        <w:rPr>
          <w:rFonts w:ascii="Arial" w:hAnsi="Arial" w:cs="Arial"/>
          <w:sz w:val="22"/>
          <w:szCs w:val="22"/>
        </w:rPr>
      </w:pPr>
      <w:r w:rsidRPr="00BA2B8B">
        <w:rPr>
          <w:rFonts w:ascii="Arial" w:hAnsi="Arial" w:cs="Arial"/>
          <w:sz w:val="22"/>
          <w:szCs w:val="22"/>
        </w:rPr>
        <w:t>the grounds of appeal.</w:t>
      </w:r>
    </w:p>
    <w:p w:rsidR="0087317A" w:rsidRPr="00BA2B8B" w:rsidRDefault="0087317A" w:rsidP="0087317A">
      <w:pPr>
        <w:spacing w:before="240" w:after="240" w:line="360" w:lineRule="auto"/>
        <w:ind w:left="720" w:hanging="810"/>
        <w:jc w:val="both"/>
        <w:rPr>
          <w:rFonts w:ascii="Arial" w:hAnsi="Arial" w:cs="Arial"/>
        </w:rPr>
      </w:pPr>
      <w:r w:rsidRPr="00BA2B8B">
        <w:rPr>
          <w:rFonts w:ascii="Arial" w:hAnsi="Arial" w:cs="Arial"/>
        </w:rPr>
        <w:t>5.2</w:t>
      </w:r>
      <w:r w:rsidRPr="00BA2B8B">
        <w:rPr>
          <w:rFonts w:ascii="Arial" w:hAnsi="Arial" w:cs="Arial"/>
        </w:rPr>
        <w:tab/>
        <w:t>The Notice of Appeal must be served on the other party. And the ECT is required to convene within 1 month after the Notice of Appeal is filed, to determine the appeal.</w:t>
      </w:r>
    </w:p>
    <w:p w:rsidR="0087317A" w:rsidRPr="00BA2B8B" w:rsidRDefault="0087317A" w:rsidP="0087317A">
      <w:pPr>
        <w:spacing w:before="240" w:after="240" w:line="360" w:lineRule="auto"/>
        <w:ind w:left="720" w:hanging="810"/>
        <w:jc w:val="both"/>
        <w:rPr>
          <w:rFonts w:ascii="Arial" w:hAnsi="Arial" w:cs="Arial"/>
        </w:rPr>
      </w:pPr>
      <w:r w:rsidRPr="00BA2B8B">
        <w:rPr>
          <w:rFonts w:ascii="Arial" w:hAnsi="Arial" w:cs="Arial"/>
        </w:rPr>
        <w:t>5.3</w:t>
      </w:r>
      <w:r w:rsidRPr="00BA2B8B">
        <w:rPr>
          <w:rFonts w:ascii="Arial" w:hAnsi="Arial" w:cs="Arial"/>
        </w:rPr>
        <w:tab/>
        <w:t>If a party is still dissatisfied with the decision of the ECT, then the party may appeal against the said decision at the Court of Appeal on point of law within 90 days after the date of the decision.</w:t>
      </w:r>
    </w:p>
    <w:p w:rsidR="0087317A" w:rsidRPr="00BA2B8B" w:rsidRDefault="0087317A" w:rsidP="0087317A">
      <w:pPr>
        <w:spacing w:before="240" w:after="240" w:line="360" w:lineRule="auto"/>
        <w:ind w:left="720" w:hanging="810"/>
        <w:jc w:val="both"/>
        <w:rPr>
          <w:rFonts w:ascii="Arial" w:hAnsi="Arial" w:cs="Arial"/>
        </w:rPr>
      </w:pPr>
      <w:r w:rsidRPr="00BA2B8B">
        <w:rPr>
          <w:rFonts w:ascii="Arial" w:hAnsi="Arial" w:cs="Arial"/>
        </w:rPr>
        <w:t>5.4</w:t>
      </w:r>
      <w:r w:rsidRPr="00BA2B8B">
        <w:rPr>
          <w:rFonts w:ascii="Arial" w:hAnsi="Arial" w:cs="Arial"/>
        </w:rPr>
        <w:tab/>
        <w:t xml:space="preserve">The relevant resource on the procedure for appealing decisions of the DRC to the ECT is the Electronic Communications (Rules of Procedure of the Electronic Communications Tribunal) Regulations, 2016 (L.I. 2235). </w:t>
      </w:r>
    </w:p>
    <w:p w:rsidR="0087317A" w:rsidRPr="00BA2B8B" w:rsidRDefault="0087317A" w:rsidP="00FE04DC">
      <w:pPr>
        <w:pStyle w:val="ListParagraph"/>
        <w:numPr>
          <w:ilvl w:val="0"/>
          <w:numId w:val="8"/>
        </w:numPr>
        <w:spacing w:before="240" w:after="240" w:line="360" w:lineRule="auto"/>
        <w:ind w:left="720" w:hanging="720"/>
        <w:rPr>
          <w:rFonts w:ascii="Arial" w:hAnsi="Arial" w:cs="Arial"/>
          <w:b/>
          <w:bCs/>
          <w:sz w:val="22"/>
          <w:szCs w:val="22"/>
        </w:rPr>
      </w:pPr>
      <w:r w:rsidRPr="00BA2B8B">
        <w:rPr>
          <w:rFonts w:ascii="Arial" w:hAnsi="Arial" w:cs="Arial"/>
          <w:b/>
          <w:bCs/>
          <w:sz w:val="22"/>
          <w:szCs w:val="22"/>
        </w:rPr>
        <w:t>Time frame for DRC Proceedings</w:t>
      </w:r>
    </w:p>
    <w:p w:rsidR="0087317A" w:rsidRPr="00BA2B8B" w:rsidRDefault="0087317A" w:rsidP="0087317A">
      <w:pPr>
        <w:pStyle w:val="ListParagraph"/>
        <w:spacing w:after="240" w:line="360" w:lineRule="auto"/>
        <w:contextualSpacing w:val="0"/>
        <w:rPr>
          <w:rFonts w:ascii="Arial" w:hAnsi="Arial" w:cs="Arial"/>
          <w:sz w:val="22"/>
          <w:szCs w:val="22"/>
        </w:rPr>
      </w:pPr>
      <w:r w:rsidRPr="00BA2B8B">
        <w:rPr>
          <w:rFonts w:ascii="Arial" w:hAnsi="Arial" w:cs="Arial"/>
          <w:sz w:val="22"/>
          <w:szCs w:val="22"/>
        </w:rPr>
        <w:t xml:space="preserve">Unless extended by the Board, the DRC must resolve disputes within six (6) months from the date the DRC panel is constituted for the claim. This requires cooperation from the parties and strict compliance with orders and directions of the DRC. </w:t>
      </w:r>
    </w:p>
    <w:p w:rsidR="0087317A" w:rsidRPr="00BA2B8B" w:rsidRDefault="0087317A" w:rsidP="00FE04DC">
      <w:pPr>
        <w:pStyle w:val="ListParagraph"/>
        <w:numPr>
          <w:ilvl w:val="0"/>
          <w:numId w:val="8"/>
        </w:numPr>
        <w:spacing w:after="160" w:line="360" w:lineRule="auto"/>
        <w:ind w:left="720" w:hanging="720"/>
        <w:rPr>
          <w:rFonts w:ascii="Arial" w:hAnsi="Arial" w:cs="Arial"/>
          <w:b/>
          <w:bCs/>
          <w:sz w:val="22"/>
          <w:szCs w:val="22"/>
        </w:rPr>
      </w:pPr>
      <w:r w:rsidRPr="00BA2B8B">
        <w:rPr>
          <w:rFonts w:ascii="Arial" w:hAnsi="Arial" w:cs="Arial"/>
          <w:b/>
          <w:bCs/>
          <w:sz w:val="22"/>
          <w:szCs w:val="22"/>
        </w:rPr>
        <w:t>Stakeholder Rights and Responsibilities</w:t>
      </w:r>
    </w:p>
    <w:p w:rsidR="0087317A" w:rsidRPr="00BA2B8B" w:rsidRDefault="0087317A" w:rsidP="00FE04DC">
      <w:pPr>
        <w:pStyle w:val="SectionSubheading"/>
        <w:numPr>
          <w:ilvl w:val="1"/>
          <w:numId w:val="12"/>
        </w:numPr>
        <w:spacing w:before="240" w:after="240" w:line="360" w:lineRule="auto"/>
        <w:jc w:val="both"/>
        <w:outlineLvl w:val="1"/>
        <w:rPr>
          <w:rFonts w:cs="Arial"/>
          <w:b/>
          <w:bCs/>
        </w:rPr>
      </w:pPr>
      <w:bookmarkStart w:id="8" w:name="_Toc143950651"/>
      <w:r w:rsidRPr="00BA2B8B">
        <w:rPr>
          <w:rFonts w:cs="Arial"/>
          <w:b/>
          <w:bCs/>
        </w:rPr>
        <w:t xml:space="preserve">      Ethical Duties of the DRC</w:t>
      </w:r>
      <w:bookmarkEnd w:id="8"/>
    </w:p>
    <w:p w:rsidR="00BA2B8B" w:rsidRPr="00BA2B8B" w:rsidRDefault="0087317A" w:rsidP="00725F49">
      <w:pPr>
        <w:pStyle w:val="SectionSubheading"/>
        <w:numPr>
          <w:ilvl w:val="0"/>
          <w:numId w:val="0"/>
        </w:numPr>
        <w:spacing w:before="240" w:after="240" w:line="360" w:lineRule="auto"/>
        <w:ind w:left="720"/>
        <w:jc w:val="both"/>
        <w:rPr>
          <w:rFonts w:cs="Arial"/>
        </w:rPr>
      </w:pPr>
      <w:r w:rsidRPr="00BA2B8B">
        <w:rPr>
          <w:rFonts w:cs="Arial"/>
        </w:rPr>
        <w:t>Maintaining high ethical standards in the dispute resolution system does not only ensure justice but also reduces or extinguishes any perception of bias and corruption. To protect the integrity of the DRC’s proceedings, each DRC panel is required to observe the following ethical standards.</w:t>
      </w:r>
    </w:p>
    <w:p w:rsidR="0087317A" w:rsidRPr="00BA2B8B" w:rsidRDefault="0087317A" w:rsidP="00FE04DC">
      <w:pPr>
        <w:pStyle w:val="SectionSubheading"/>
        <w:numPr>
          <w:ilvl w:val="2"/>
          <w:numId w:val="8"/>
        </w:numPr>
        <w:spacing w:before="240" w:after="240" w:line="360" w:lineRule="auto"/>
        <w:ind w:left="1080"/>
        <w:jc w:val="both"/>
        <w:outlineLvl w:val="2"/>
        <w:rPr>
          <w:rFonts w:cs="Arial"/>
          <w:i/>
          <w:iCs/>
        </w:rPr>
      </w:pPr>
      <w:bookmarkStart w:id="9" w:name="_Toc143950652"/>
      <w:r w:rsidRPr="00BA2B8B">
        <w:rPr>
          <w:rFonts w:cs="Arial"/>
          <w:i/>
          <w:iCs/>
        </w:rPr>
        <w:lastRenderedPageBreak/>
        <w:t>Impartiality and Independence</w:t>
      </w:r>
      <w:bookmarkEnd w:id="9"/>
    </w:p>
    <w:p w:rsidR="00BA2B8B" w:rsidRPr="00BA2B8B" w:rsidRDefault="0087317A" w:rsidP="00BA2B8B">
      <w:pPr>
        <w:pStyle w:val="SectionSubheading"/>
        <w:numPr>
          <w:ilvl w:val="0"/>
          <w:numId w:val="0"/>
        </w:numPr>
        <w:spacing w:before="240" w:after="240" w:line="360" w:lineRule="auto"/>
        <w:ind w:left="1080"/>
        <w:jc w:val="both"/>
        <w:rPr>
          <w:rFonts w:cs="Arial"/>
        </w:rPr>
      </w:pPr>
      <w:r w:rsidRPr="00BA2B8B">
        <w:rPr>
          <w:rFonts w:cs="Arial"/>
        </w:rPr>
        <w:t>Independence from political or corporate pressures is essential to maintain the DRC's credibility. Flowing from this, every DRC panel member must remain impartial and free from bias. They should not have any affiliations or relationships that may influence their decision-making process.</w:t>
      </w:r>
    </w:p>
    <w:p w:rsidR="0087317A" w:rsidRPr="00BA2B8B" w:rsidRDefault="0087317A" w:rsidP="00FE04DC">
      <w:pPr>
        <w:pStyle w:val="SectionSubheading"/>
        <w:numPr>
          <w:ilvl w:val="2"/>
          <w:numId w:val="8"/>
        </w:numPr>
        <w:spacing w:before="240" w:after="240" w:line="360" w:lineRule="auto"/>
        <w:ind w:left="1080"/>
        <w:jc w:val="both"/>
        <w:outlineLvl w:val="2"/>
        <w:rPr>
          <w:rFonts w:cs="Arial"/>
          <w:i/>
          <w:iCs/>
        </w:rPr>
      </w:pPr>
      <w:bookmarkStart w:id="10" w:name="_Toc143950653"/>
      <w:r w:rsidRPr="00BA2B8B">
        <w:rPr>
          <w:rFonts w:cs="Arial"/>
          <w:i/>
          <w:iCs/>
        </w:rPr>
        <w:t>Transparency</w:t>
      </w:r>
      <w:bookmarkEnd w:id="10"/>
    </w:p>
    <w:p w:rsidR="00BA2B8B" w:rsidRPr="00BA2B8B" w:rsidRDefault="0087317A" w:rsidP="00BA2B8B">
      <w:pPr>
        <w:pStyle w:val="SectionSubheading"/>
        <w:numPr>
          <w:ilvl w:val="0"/>
          <w:numId w:val="0"/>
        </w:numPr>
        <w:spacing w:before="240" w:after="240" w:line="360" w:lineRule="auto"/>
        <w:ind w:left="1080"/>
        <w:jc w:val="both"/>
        <w:rPr>
          <w:rFonts w:cs="Arial"/>
        </w:rPr>
      </w:pPr>
      <w:r w:rsidRPr="00BA2B8B">
        <w:rPr>
          <w:rFonts w:cs="Arial"/>
        </w:rPr>
        <w:t xml:space="preserve">The procedures and processes for dispute resolution must be clear and transparent. Stakeholders should be able to understand how decisions are made and the criteria for awards. The issue of transparency must be evenly balanced with the duty to maintain confidentiality. </w:t>
      </w:r>
    </w:p>
    <w:p w:rsidR="0087317A" w:rsidRPr="00BA2B8B" w:rsidRDefault="0087317A" w:rsidP="00FE04DC">
      <w:pPr>
        <w:pStyle w:val="SectionSubheading"/>
        <w:numPr>
          <w:ilvl w:val="2"/>
          <w:numId w:val="8"/>
        </w:numPr>
        <w:spacing w:before="240" w:after="240" w:line="360" w:lineRule="auto"/>
        <w:ind w:left="1080"/>
        <w:jc w:val="both"/>
        <w:outlineLvl w:val="2"/>
        <w:rPr>
          <w:rFonts w:cs="Arial"/>
          <w:i/>
          <w:iCs/>
        </w:rPr>
      </w:pPr>
      <w:bookmarkStart w:id="11" w:name="_Toc143950654"/>
      <w:r w:rsidRPr="00BA2B8B">
        <w:rPr>
          <w:rFonts w:cs="Arial"/>
          <w:i/>
          <w:iCs/>
        </w:rPr>
        <w:t xml:space="preserve">     Confidentiality</w:t>
      </w:r>
      <w:bookmarkEnd w:id="11"/>
    </w:p>
    <w:p w:rsidR="0087317A" w:rsidRPr="00BA2B8B" w:rsidRDefault="0087317A" w:rsidP="0087317A">
      <w:pPr>
        <w:pStyle w:val="SectionSubheading"/>
        <w:numPr>
          <w:ilvl w:val="0"/>
          <w:numId w:val="0"/>
        </w:numPr>
        <w:spacing w:before="240" w:after="240" w:line="360" w:lineRule="auto"/>
        <w:ind w:left="1080"/>
        <w:jc w:val="both"/>
        <w:rPr>
          <w:rFonts w:cs="Arial"/>
        </w:rPr>
      </w:pPr>
      <w:r w:rsidRPr="00BA2B8B">
        <w:rPr>
          <w:rFonts w:cs="Arial"/>
        </w:rPr>
        <w:t>Information disclosed during the resolution process should be kept confidential, unless otherwise required by law. Personal and sensitive data should be protected to ensure privacy. This duty applies to lawyers and other representatives who participate in the proceedings as well. It continues to exist even after the representation of the client ceases.</w:t>
      </w:r>
    </w:p>
    <w:p w:rsidR="0087317A" w:rsidRPr="00BA2B8B" w:rsidRDefault="0087317A" w:rsidP="00FE04DC">
      <w:pPr>
        <w:pStyle w:val="SectionSubheading"/>
        <w:numPr>
          <w:ilvl w:val="2"/>
          <w:numId w:val="8"/>
        </w:numPr>
        <w:spacing w:before="240" w:after="240" w:line="360" w:lineRule="auto"/>
        <w:ind w:left="1080"/>
        <w:jc w:val="both"/>
        <w:outlineLvl w:val="2"/>
        <w:rPr>
          <w:rFonts w:cs="Arial"/>
          <w:i/>
          <w:iCs/>
        </w:rPr>
      </w:pPr>
      <w:bookmarkStart w:id="12" w:name="_Toc143950655"/>
      <w:r w:rsidRPr="00BA2B8B">
        <w:rPr>
          <w:rFonts w:cs="Arial"/>
          <w:i/>
          <w:iCs/>
        </w:rPr>
        <w:t>Accessibility</w:t>
      </w:r>
      <w:bookmarkEnd w:id="12"/>
    </w:p>
    <w:p w:rsidR="0087317A" w:rsidRPr="00BA2B8B" w:rsidRDefault="0087317A" w:rsidP="0087317A">
      <w:pPr>
        <w:pStyle w:val="SectionSubheading"/>
        <w:numPr>
          <w:ilvl w:val="0"/>
          <w:numId w:val="0"/>
        </w:numPr>
        <w:spacing w:before="240" w:after="240" w:line="360" w:lineRule="auto"/>
        <w:ind w:left="1080"/>
        <w:jc w:val="both"/>
        <w:rPr>
          <w:rFonts w:cs="Arial"/>
        </w:rPr>
      </w:pPr>
      <w:r w:rsidRPr="00BA2B8B">
        <w:rPr>
          <w:rFonts w:cs="Arial"/>
        </w:rPr>
        <w:t>All users of telecommunication services, regardless of their background, should have equal access to the dispute resolution mechanisms. Services should be available without discrimination based on factors like race, gender, socioeconomic status, etc.</w:t>
      </w:r>
    </w:p>
    <w:p w:rsidR="0087317A" w:rsidRPr="00BA2B8B" w:rsidRDefault="0087317A" w:rsidP="0087317A">
      <w:pPr>
        <w:pStyle w:val="SectionSubheading"/>
        <w:numPr>
          <w:ilvl w:val="0"/>
          <w:numId w:val="0"/>
        </w:numPr>
        <w:spacing w:before="240" w:after="240" w:line="360" w:lineRule="auto"/>
        <w:ind w:left="1080"/>
        <w:jc w:val="both"/>
        <w:rPr>
          <w:rFonts w:cs="Arial"/>
        </w:rPr>
      </w:pPr>
      <w:r w:rsidRPr="00BA2B8B">
        <w:rPr>
          <w:rFonts w:cs="Arial"/>
        </w:rPr>
        <w:t>The Authority shall endeavour to provide translation and transcription services for parties with special needs or otherwise require such services but cannot afford.</w:t>
      </w:r>
    </w:p>
    <w:p w:rsidR="0087317A" w:rsidRPr="00BA2B8B" w:rsidRDefault="0087317A" w:rsidP="00FE04DC">
      <w:pPr>
        <w:pStyle w:val="SectionSubheading"/>
        <w:numPr>
          <w:ilvl w:val="2"/>
          <w:numId w:val="8"/>
        </w:numPr>
        <w:spacing w:before="240" w:after="240" w:line="360" w:lineRule="auto"/>
        <w:ind w:left="1080"/>
        <w:jc w:val="both"/>
        <w:outlineLvl w:val="2"/>
        <w:rPr>
          <w:rFonts w:cs="Arial"/>
          <w:i/>
          <w:iCs/>
        </w:rPr>
      </w:pPr>
      <w:bookmarkStart w:id="13" w:name="_Toc143950656"/>
      <w:r w:rsidRPr="00BA2B8B">
        <w:rPr>
          <w:rFonts w:cs="Arial"/>
          <w:i/>
          <w:iCs/>
        </w:rPr>
        <w:t>Efficiency</w:t>
      </w:r>
      <w:bookmarkEnd w:id="13"/>
    </w:p>
    <w:p w:rsidR="00BA2B8B" w:rsidRDefault="0087317A" w:rsidP="00BA2B8B">
      <w:pPr>
        <w:pStyle w:val="SectionSubheading"/>
        <w:numPr>
          <w:ilvl w:val="0"/>
          <w:numId w:val="0"/>
        </w:numPr>
        <w:spacing w:before="240" w:after="240" w:line="360" w:lineRule="auto"/>
        <w:ind w:left="1080"/>
        <w:jc w:val="both"/>
        <w:rPr>
          <w:rFonts w:cs="Arial"/>
        </w:rPr>
      </w:pPr>
      <w:r w:rsidRPr="00BA2B8B">
        <w:rPr>
          <w:rFonts w:cs="Arial"/>
        </w:rPr>
        <w:t xml:space="preserve">Disputes should be resolved in a timely manner. Delays should be minimised to ensure that consumers or parties involved do not suffer due to </w:t>
      </w:r>
      <w:proofErr w:type="gramStart"/>
      <w:r w:rsidRPr="00BA2B8B">
        <w:rPr>
          <w:rFonts w:cs="Arial"/>
        </w:rPr>
        <w:t>extended</w:t>
      </w:r>
      <w:proofErr w:type="gramEnd"/>
      <w:r w:rsidRPr="00BA2B8B">
        <w:rPr>
          <w:rFonts w:cs="Arial"/>
        </w:rPr>
        <w:t xml:space="preserve"> waiting times.</w:t>
      </w:r>
    </w:p>
    <w:p w:rsidR="00BA2B8B" w:rsidRPr="00BA2B8B" w:rsidRDefault="00BA2B8B" w:rsidP="00BA2B8B">
      <w:pPr>
        <w:pStyle w:val="SectionSubheading"/>
        <w:numPr>
          <w:ilvl w:val="0"/>
          <w:numId w:val="0"/>
        </w:numPr>
        <w:spacing w:before="240" w:after="240" w:line="360" w:lineRule="auto"/>
        <w:ind w:left="1080"/>
        <w:jc w:val="both"/>
        <w:rPr>
          <w:rFonts w:cs="Arial"/>
        </w:rPr>
      </w:pPr>
    </w:p>
    <w:p w:rsidR="0087317A" w:rsidRPr="00BA2B8B" w:rsidRDefault="007055F7" w:rsidP="00FE04DC">
      <w:pPr>
        <w:pStyle w:val="SectionSubheading"/>
        <w:numPr>
          <w:ilvl w:val="2"/>
          <w:numId w:val="8"/>
        </w:numPr>
        <w:spacing w:before="240" w:after="240" w:line="360" w:lineRule="auto"/>
        <w:ind w:left="1080"/>
        <w:jc w:val="both"/>
        <w:outlineLvl w:val="2"/>
        <w:rPr>
          <w:rFonts w:cs="Arial"/>
          <w:i/>
          <w:iCs/>
        </w:rPr>
      </w:pPr>
      <w:bookmarkStart w:id="14" w:name="_Toc143950657"/>
      <w:r w:rsidRPr="00BA2B8B">
        <w:rPr>
          <w:rFonts w:cs="Arial"/>
          <w:i/>
          <w:iCs/>
        </w:rPr>
        <w:lastRenderedPageBreak/>
        <w:t xml:space="preserve">     </w:t>
      </w:r>
      <w:r w:rsidR="0087317A" w:rsidRPr="00BA2B8B">
        <w:rPr>
          <w:rFonts w:cs="Arial"/>
          <w:i/>
          <w:iCs/>
        </w:rPr>
        <w:t>Fairness</w:t>
      </w:r>
      <w:bookmarkEnd w:id="14"/>
    </w:p>
    <w:p w:rsidR="0087317A" w:rsidRPr="00BA2B8B" w:rsidRDefault="0087317A" w:rsidP="0087317A">
      <w:pPr>
        <w:pStyle w:val="SectionSubheading"/>
        <w:numPr>
          <w:ilvl w:val="0"/>
          <w:numId w:val="0"/>
        </w:numPr>
        <w:spacing w:before="240" w:after="240" w:line="360" w:lineRule="auto"/>
        <w:ind w:left="1080"/>
        <w:jc w:val="both"/>
        <w:rPr>
          <w:rFonts w:cs="Arial"/>
        </w:rPr>
      </w:pPr>
      <w:r w:rsidRPr="00BA2B8B">
        <w:rPr>
          <w:rFonts w:cs="Arial"/>
        </w:rPr>
        <w:t>The process should be fair, giving both parties an equal opportunity to present their case, unless a party voluntarily decides not to utilise the opportunity given to it. Decisions should be based on evidence, rules, and the law, not on arbitrary or subjective judgements.</w:t>
      </w:r>
    </w:p>
    <w:p w:rsidR="0087317A" w:rsidRPr="00BA2B8B" w:rsidRDefault="0087317A" w:rsidP="00FE04DC">
      <w:pPr>
        <w:pStyle w:val="SectionSubheading"/>
        <w:numPr>
          <w:ilvl w:val="2"/>
          <w:numId w:val="8"/>
        </w:numPr>
        <w:spacing w:before="240" w:after="240" w:line="360" w:lineRule="auto"/>
        <w:ind w:left="1080"/>
        <w:jc w:val="both"/>
        <w:outlineLvl w:val="2"/>
        <w:rPr>
          <w:rFonts w:cs="Arial"/>
          <w:i/>
          <w:iCs/>
        </w:rPr>
      </w:pPr>
      <w:bookmarkStart w:id="15" w:name="_Toc143950658"/>
      <w:r w:rsidRPr="00BA2B8B">
        <w:rPr>
          <w:rFonts w:cs="Arial"/>
          <w:i/>
          <w:iCs/>
        </w:rPr>
        <w:t>Competence</w:t>
      </w:r>
      <w:bookmarkEnd w:id="15"/>
    </w:p>
    <w:p w:rsidR="0087317A" w:rsidRPr="00BA2B8B" w:rsidRDefault="0087317A" w:rsidP="009F27CD">
      <w:pPr>
        <w:pStyle w:val="SectionSubheading"/>
        <w:numPr>
          <w:ilvl w:val="0"/>
          <w:numId w:val="0"/>
        </w:numPr>
        <w:spacing w:before="240" w:after="240" w:line="360" w:lineRule="auto"/>
        <w:ind w:left="1080"/>
        <w:jc w:val="both"/>
        <w:rPr>
          <w:rFonts w:cs="Arial"/>
        </w:rPr>
      </w:pPr>
      <w:r w:rsidRPr="00BA2B8B">
        <w:rPr>
          <w:rFonts w:cs="Arial"/>
        </w:rPr>
        <w:t>DRC members are adequately trained and competent in both telecommunications and dispute resolution. The Authority will organise periodic training and updates to equip DRC members to handle evolving challenges in the telecommunications sector.</w:t>
      </w:r>
    </w:p>
    <w:p w:rsidR="0087317A" w:rsidRPr="00BA2B8B" w:rsidRDefault="0087317A" w:rsidP="00FE04DC">
      <w:pPr>
        <w:pStyle w:val="SectionSubheading"/>
        <w:numPr>
          <w:ilvl w:val="2"/>
          <w:numId w:val="8"/>
        </w:numPr>
        <w:spacing w:before="240" w:after="240" w:line="360" w:lineRule="auto"/>
        <w:ind w:left="1080"/>
        <w:jc w:val="both"/>
        <w:outlineLvl w:val="2"/>
        <w:rPr>
          <w:rFonts w:cs="Arial"/>
          <w:i/>
          <w:iCs/>
        </w:rPr>
      </w:pPr>
      <w:bookmarkStart w:id="16" w:name="_Toc143950659"/>
      <w:r w:rsidRPr="00BA2B8B">
        <w:rPr>
          <w:rFonts w:cs="Arial"/>
          <w:i/>
          <w:iCs/>
        </w:rPr>
        <w:t>Accountability</w:t>
      </w:r>
      <w:bookmarkEnd w:id="16"/>
    </w:p>
    <w:p w:rsidR="0087317A" w:rsidRPr="00BA2B8B" w:rsidRDefault="0087317A" w:rsidP="0087317A">
      <w:pPr>
        <w:pStyle w:val="SectionSubheading"/>
        <w:numPr>
          <w:ilvl w:val="0"/>
          <w:numId w:val="0"/>
        </w:numPr>
        <w:spacing w:before="240" w:after="240" w:line="360" w:lineRule="auto"/>
        <w:ind w:left="1080"/>
        <w:jc w:val="both"/>
        <w:rPr>
          <w:rFonts w:cs="Arial"/>
        </w:rPr>
      </w:pPr>
      <w:r w:rsidRPr="00BA2B8B">
        <w:rPr>
          <w:rFonts w:cs="Arial"/>
        </w:rPr>
        <w:t>There are mechanisms in place to hold the DRC accountable. This includes periodic reviews, audits, or feedback mechanisms. The Board plays a supervisory role in periodically vetting decisions made by the DRC.</w:t>
      </w:r>
    </w:p>
    <w:p w:rsidR="0087317A" w:rsidRPr="00BA2B8B" w:rsidRDefault="0087317A" w:rsidP="00FE04DC">
      <w:pPr>
        <w:pStyle w:val="SectionSubheading"/>
        <w:numPr>
          <w:ilvl w:val="2"/>
          <w:numId w:val="8"/>
        </w:numPr>
        <w:spacing w:before="240" w:after="240" w:line="360" w:lineRule="auto"/>
        <w:ind w:left="1080"/>
        <w:jc w:val="both"/>
        <w:outlineLvl w:val="2"/>
        <w:rPr>
          <w:rFonts w:cs="Arial"/>
          <w:i/>
          <w:iCs/>
        </w:rPr>
      </w:pPr>
      <w:bookmarkStart w:id="17" w:name="_Toc143950660"/>
      <w:r w:rsidRPr="00BA2B8B">
        <w:rPr>
          <w:rFonts w:cs="Arial"/>
          <w:i/>
          <w:iCs/>
        </w:rPr>
        <w:t xml:space="preserve">    Public Interest</w:t>
      </w:r>
      <w:bookmarkEnd w:id="17"/>
    </w:p>
    <w:p w:rsidR="0087317A" w:rsidRPr="00BA2B8B" w:rsidRDefault="0087317A" w:rsidP="0087317A">
      <w:pPr>
        <w:pStyle w:val="SectionSubheading"/>
        <w:numPr>
          <w:ilvl w:val="0"/>
          <w:numId w:val="0"/>
        </w:numPr>
        <w:spacing w:before="240" w:after="240" w:line="360" w:lineRule="auto"/>
        <w:ind w:left="1080"/>
        <w:jc w:val="both"/>
        <w:rPr>
          <w:rFonts w:cs="Arial"/>
        </w:rPr>
      </w:pPr>
      <w:r w:rsidRPr="00BA2B8B">
        <w:rPr>
          <w:rFonts w:cs="Arial"/>
        </w:rPr>
        <w:t>Decisions made by the DRC would not only consider the interests of the disputing parties but also the broader public interest. It is in this light that the Rules require the DRC to dismiss a claim summarily if it would be disadvantageous to public interest.</w:t>
      </w:r>
      <w:r w:rsidRPr="00BA2B8B">
        <w:rPr>
          <w:rStyle w:val="FootnoteReference"/>
          <w:rFonts w:cs="Arial"/>
        </w:rPr>
        <w:footnoteReference w:id="2"/>
      </w:r>
      <w:r w:rsidRPr="00BA2B8B">
        <w:rPr>
          <w:rFonts w:cs="Arial"/>
        </w:rPr>
        <w:t xml:space="preserve"> The overarching goal is to enhance the telecommunication sector's quality, efficiency, and reliability for the public.</w:t>
      </w:r>
    </w:p>
    <w:p w:rsidR="0087317A" w:rsidRPr="00BA2B8B" w:rsidRDefault="0087317A" w:rsidP="00FE04DC">
      <w:pPr>
        <w:pStyle w:val="SectionSubheading"/>
        <w:numPr>
          <w:ilvl w:val="2"/>
          <w:numId w:val="8"/>
        </w:numPr>
        <w:spacing w:before="240" w:after="240" w:line="360" w:lineRule="auto"/>
        <w:ind w:left="1080"/>
        <w:jc w:val="both"/>
        <w:outlineLvl w:val="2"/>
        <w:rPr>
          <w:rFonts w:cs="Arial"/>
          <w:i/>
          <w:iCs/>
        </w:rPr>
      </w:pPr>
      <w:bookmarkStart w:id="18" w:name="_Toc143950661"/>
      <w:r w:rsidRPr="00BA2B8B">
        <w:rPr>
          <w:rFonts w:cs="Arial"/>
          <w:i/>
          <w:iCs/>
        </w:rPr>
        <w:t xml:space="preserve">   Avoiding Conflicts of Interest</w:t>
      </w:r>
      <w:bookmarkEnd w:id="18"/>
    </w:p>
    <w:p w:rsidR="0087317A" w:rsidRPr="00BA2B8B" w:rsidRDefault="0087317A" w:rsidP="0087317A">
      <w:pPr>
        <w:pStyle w:val="SectionSubheading"/>
        <w:numPr>
          <w:ilvl w:val="0"/>
          <w:numId w:val="0"/>
        </w:numPr>
        <w:spacing w:before="240" w:after="240" w:line="360" w:lineRule="auto"/>
        <w:ind w:left="1080"/>
        <w:jc w:val="both"/>
        <w:rPr>
          <w:rFonts w:cs="Arial"/>
        </w:rPr>
      </w:pPr>
      <w:r w:rsidRPr="00BA2B8B">
        <w:rPr>
          <w:rFonts w:cs="Arial"/>
        </w:rPr>
        <w:t>Individuals involved in the decision-making process are required to disclose any potential conflicts of interest. The Board would address any potential conflicts promptly to ensure they do not affect the integrity of the dispute resolution process.</w:t>
      </w:r>
    </w:p>
    <w:p w:rsidR="00BA2B8B" w:rsidRPr="00BA2B8B" w:rsidRDefault="00BA2B8B" w:rsidP="0087317A">
      <w:pPr>
        <w:pStyle w:val="SectionSubheading"/>
        <w:numPr>
          <w:ilvl w:val="0"/>
          <w:numId w:val="0"/>
        </w:numPr>
        <w:spacing w:before="240" w:after="240" w:line="360" w:lineRule="auto"/>
        <w:ind w:left="1080"/>
        <w:jc w:val="both"/>
        <w:rPr>
          <w:rFonts w:cs="Arial"/>
        </w:rPr>
      </w:pPr>
    </w:p>
    <w:p w:rsidR="0087317A" w:rsidRPr="00BA2B8B" w:rsidRDefault="0087317A" w:rsidP="00FE04DC">
      <w:pPr>
        <w:pStyle w:val="SectionSubheading"/>
        <w:numPr>
          <w:ilvl w:val="2"/>
          <w:numId w:val="8"/>
        </w:numPr>
        <w:spacing w:before="240" w:after="240" w:line="360" w:lineRule="auto"/>
        <w:ind w:left="1080"/>
        <w:jc w:val="both"/>
        <w:outlineLvl w:val="2"/>
        <w:rPr>
          <w:rFonts w:cs="Arial"/>
          <w:i/>
          <w:iCs/>
        </w:rPr>
      </w:pPr>
      <w:bookmarkStart w:id="19" w:name="_Toc143950662"/>
      <w:r w:rsidRPr="00BA2B8B">
        <w:rPr>
          <w:rFonts w:cs="Arial"/>
          <w:i/>
          <w:iCs/>
        </w:rPr>
        <w:lastRenderedPageBreak/>
        <w:t xml:space="preserve">   Continual Review and Improvement</w:t>
      </w:r>
      <w:bookmarkEnd w:id="19"/>
    </w:p>
    <w:p w:rsidR="00BA2B8B" w:rsidRPr="00BA2B8B" w:rsidRDefault="0087317A" w:rsidP="00BA2B8B">
      <w:pPr>
        <w:pStyle w:val="SectionSubheading"/>
        <w:numPr>
          <w:ilvl w:val="0"/>
          <w:numId w:val="0"/>
        </w:numPr>
        <w:spacing w:before="240" w:after="240" w:line="360" w:lineRule="auto"/>
        <w:ind w:left="1080"/>
        <w:jc w:val="both"/>
        <w:rPr>
          <w:rFonts w:cs="Arial"/>
        </w:rPr>
      </w:pPr>
      <w:r w:rsidRPr="00BA2B8B">
        <w:rPr>
          <w:rFonts w:cs="Arial"/>
        </w:rPr>
        <w:t>The ethical framework and processes would be reviewed periodically. Feedback would be collected and incorporated to improve the dispute resolution process continually.</w:t>
      </w:r>
    </w:p>
    <w:p w:rsidR="0087317A" w:rsidRPr="00BA2B8B" w:rsidRDefault="0087317A" w:rsidP="00FE04DC">
      <w:pPr>
        <w:pStyle w:val="ListParagraph"/>
        <w:numPr>
          <w:ilvl w:val="0"/>
          <w:numId w:val="8"/>
        </w:numPr>
        <w:spacing w:after="160" w:line="360" w:lineRule="auto"/>
        <w:ind w:left="720" w:hanging="720"/>
        <w:rPr>
          <w:rFonts w:cs="Arial"/>
          <w:b/>
          <w:bCs/>
          <w:sz w:val="22"/>
          <w:szCs w:val="22"/>
        </w:rPr>
      </w:pPr>
      <w:bookmarkStart w:id="20" w:name="_Toc143950650"/>
      <w:r w:rsidRPr="00BA2B8B">
        <w:rPr>
          <w:rFonts w:ascii="Arial" w:hAnsi="Arial" w:cs="Arial"/>
          <w:b/>
          <w:bCs/>
          <w:sz w:val="22"/>
          <w:szCs w:val="22"/>
        </w:rPr>
        <w:t>Lawyers</w:t>
      </w:r>
      <w:r w:rsidRPr="00BA2B8B">
        <w:rPr>
          <w:rFonts w:cs="Arial"/>
          <w:b/>
          <w:bCs/>
          <w:sz w:val="22"/>
          <w:szCs w:val="22"/>
        </w:rPr>
        <w:t xml:space="preserve"> </w:t>
      </w:r>
      <w:r w:rsidRPr="00BA2B8B">
        <w:rPr>
          <w:rFonts w:ascii="Arial" w:hAnsi="Arial" w:cs="Arial"/>
          <w:b/>
          <w:bCs/>
          <w:sz w:val="22"/>
          <w:szCs w:val="22"/>
        </w:rPr>
        <w:t>and other representatives’ duty to the DRC</w:t>
      </w:r>
      <w:bookmarkEnd w:id="20"/>
    </w:p>
    <w:p w:rsidR="0087317A" w:rsidRPr="00BA2B8B" w:rsidRDefault="0087317A" w:rsidP="0087317A">
      <w:pPr>
        <w:spacing w:before="240" w:after="240" w:line="360" w:lineRule="auto"/>
        <w:ind w:left="720" w:hanging="810"/>
        <w:jc w:val="both"/>
        <w:rPr>
          <w:rFonts w:ascii="Arial" w:hAnsi="Arial" w:cs="Arial"/>
        </w:rPr>
      </w:pPr>
      <w:r w:rsidRPr="00BA2B8B">
        <w:rPr>
          <w:rFonts w:ascii="Arial" w:hAnsi="Arial" w:cs="Arial"/>
        </w:rPr>
        <w:t>8.1</w:t>
      </w:r>
      <w:r w:rsidRPr="00BA2B8B">
        <w:rPr>
          <w:rFonts w:ascii="Arial" w:hAnsi="Arial" w:cs="Arial"/>
        </w:rPr>
        <w:tab/>
        <w:t>Lawyers and other representatives also owe the DRC duties aimed at ensuring the effective determination of the dispute between the parties. In addition to their professional duties, every party and their representatives have the duty to:</w:t>
      </w:r>
    </w:p>
    <w:p w:rsidR="0087317A" w:rsidRPr="00BA2B8B" w:rsidRDefault="0087317A" w:rsidP="00FE04DC">
      <w:pPr>
        <w:pStyle w:val="ListParagraph"/>
        <w:numPr>
          <w:ilvl w:val="0"/>
          <w:numId w:val="7"/>
        </w:numPr>
        <w:spacing w:before="240" w:after="240" w:line="360" w:lineRule="auto"/>
        <w:ind w:left="1080"/>
        <w:rPr>
          <w:rFonts w:ascii="Arial" w:hAnsi="Arial" w:cs="Arial"/>
          <w:sz w:val="22"/>
          <w:szCs w:val="22"/>
        </w:rPr>
      </w:pPr>
      <w:r w:rsidRPr="00BA2B8B">
        <w:rPr>
          <w:rFonts w:ascii="Arial" w:hAnsi="Arial" w:cs="Arial"/>
          <w:sz w:val="22"/>
          <w:szCs w:val="22"/>
        </w:rPr>
        <w:t>Avoid any deliberate attempt to deceive or mislead the DRC;</w:t>
      </w:r>
    </w:p>
    <w:p w:rsidR="0087317A" w:rsidRPr="00BA2B8B" w:rsidRDefault="0087317A" w:rsidP="00FE04DC">
      <w:pPr>
        <w:pStyle w:val="ListParagraph"/>
        <w:numPr>
          <w:ilvl w:val="0"/>
          <w:numId w:val="7"/>
        </w:numPr>
        <w:spacing w:before="240" w:after="240" w:line="360" w:lineRule="auto"/>
        <w:ind w:left="1080"/>
        <w:rPr>
          <w:rFonts w:ascii="Arial" w:hAnsi="Arial" w:cs="Arial"/>
          <w:sz w:val="22"/>
          <w:szCs w:val="22"/>
        </w:rPr>
      </w:pPr>
      <w:r w:rsidRPr="00BA2B8B">
        <w:rPr>
          <w:rFonts w:ascii="Arial" w:hAnsi="Arial" w:cs="Arial"/>
          <w:sz w:val="22"/>
          <w:szCs w:val="22"/>
        </w:rPr>
        <w:t>Avoid any attempt to compromise any material witness to the dispute; and</w:t>
      </w:r>
    </w:p>
    <w:p w:rsidR="0087317A" w:rsidRPr="00BA2B8B" w:rsidRDefault="0087317A" w:rsidP="00FE04DC">
      <w:pPr>
        <w:pStyle w:val="ListParagraph"/>
        <w:numPr>
          <w:ilvl w:val="0"/>
          <w:numId w:val="7"/>
        </w:numPr>
        <w:spacing w:before="240" w:after="240" w:line="360" w:lineRule="auto"/>
        <w:ind w:left="1080"/>
        <w:rPr>
          <w:rFonts w:ascii="Arial" w:hAnsi="Arial" w:cs="Arial"/>
          <w:sz w:val="22"/>
          <w:szCs w:val="22"/>
        </w:rPr>
      </w:pPr>
      <w:r w:rsidRPr="00BA2B8B">
        <w:rPr>
          <w:rFonts w:ascii="Arial" w:hAnsi="Arial" w:cs="Arial"/>
          <w:sz w:val="22"/>
          <w:szCs w:val="22"/>
        </w:rPr>
        <w:t>Avoid any attempt to compromise or influence the decision of any member of the DRC.</w:t>
      </w:r>
    </w:p>
    <w:p w:rsidR="009F27CD" w:rsidRPr="00BA2B8B" w:rsidRDefault="009F27CD" w:rsidP="009F27CD">
      <w:pPr>
        <w:pStyle w:val="ListParagraph"/>
        <w:spacing w:before="240" w:after="240" w:line="360" w:lineRule="auto"/>
        <w:ind w:left="1080"/>
        <w:rPr>
          <w:rFonts w:ascii="Arial" w:hAnsi="Arial" w:cs="Arial"/>
          <w:sz w:val="22"/>
          <w:szCs w:val="22"/>
        </w:rPr>
      </w:pPr>
    </w:p>
    <w:p w:rsidR="0087317A" w:rsidRPr="00BA2B8B" w:rsidRDefault="0087317A" w:rsidP="00FE04DC">
      <w:pPr>
        <w:pStyle w:val="ListParagraph"/>
        <w:numPr>
          <w:ilvl w:val="0"/>
          <w:numId w:val="8"/>
        </w:numPr>
        <w:spacing w:after="160" w:line="360" w:lineRule="auto"/>
        <w:ind w:left="720" w:hanging="720"/>
        <w:rPr>
          <w:rFonts w:ascii="Arial" w:hAnsi="Arial" w:cs="Arial"/>
          <w:b/>
          <w:bCs/>
          <w:sz w:val="22"/>
          <w:szCs w:val="22"/>
        </w:rPr>
      </w:pPr>
      <w:r w:rsidRPr="00BA2B8B">
        <w:rPr>
          <w:rFonts w:ascii="Arial" w:hAnsi="Arial" w:cs="Arial"/>
          <w:b/>
          <w:bCs/>
          <w:sz w:val="22"/>
          <w:szCs w:val="22"/>
        </w:rPr>
        <w:t>Confidentiality</w:t>
      </w:r>
    </w:p>
    <w:p w:rsidR="0087317A" w:rsidRPr="00BA2B8B" w:rsidRDefault="0087317A" w:rsidP="0087317A">
      <w:pPr>
        <w:spacing w:line="360" w:lineRule="auto"/>
        <w:ind w:left="720" w:hanging="720"/>
        <w:jc w:val="both"/>
        <w:rPr>
          <w:rFonts w:ascii="Arial" w:hAnsi="Arial" w:cs="Arial"/>
        </w:rPr>
      </w:pPr>
      <w:r w:rsidRPr="00BA2B8B">
        <w:rPr>
          <w:rFonts w:ascii="Arial" w:hAnsi="Arial" w:cs="Arial"/>
        </w:rPr>
        <w:t>9.1</w:t>
      </w:r>
      <w:r w:rsidRPr="00BA2B8B">
        <w:rPr>
          <w:rFonts w:ascii="Arial" w:hAnsi="Arial" w:cs="Arial"/>
        </w:rPr>
        <w:tab/>
        <w:t xml:space="preserve">Information disclosed during the resolution process would be kept confidential, unless otherwise required by law. </w:t>
      </w:r>
    </w:p>
    <w:p w:rsidR="0087317A" w:rsidRPr="00BA2B8B" w:rsidRDefault="0087317A" w:rsidP="0087317A">
      <w:pPr>
        <w:spacing w:line="360" w:lineRule="auto"/>
        <w:ind w:left="720" w:hanging="720"/>
        <w:jc w:val="both"/>
        <w:rPr>
          <w:rFonts w:ascii="Arial" w:hAnsi="Arial" w:cs="Arial"/>
        </w:rPr>
      </w:pPr>
      <w:r w:rsidRPr="00BA2B8B">
        <w:rPr>
          <w:rFonts w:ascii="Arial" w:hAnsi="Arial" w:cs="Arial"/>
        </w:rPr>
        <w:t>9.2</w:t>
      </w:r>
      <w:r w:rsidRPr="00BA2B8B">
        <w:rPr>
          <w:rFonts w:ascii="Arial" w:hAnsi="Arial" w:cs="Arial"/>
        </w:rPr>
        <w:tab/>
        <w:t xml:space="preserve">The DRC keeps the personal information of clients/consumers confidential unless the DRC is: </w:t>
      </w:r>
    </w:p>
    <w:p w:rsidR="0087317A" w:rsidRPr="00BA2B8B" w:rsidRDefault="0087317A" w:rsidP="0087317A">
      <w:pPr>
        <w:pStyle w:val="ListParagraph"/>
        <w:spacing w:line="360" w:lineRule="auto"/>
        <w:rPr>
          <w:rFonts w:ascii="Arial" w:hAnsi="Arial" w:cs="Arial"/>
          <w:sz w:val="22"/>
          <w:szCs w:val="22"/>
        </w:rPr>
      </w:pPr>
      <w:r w:rsidRPr="00BA2B8B">
        <w:rPr>
          <w:rFonts w:ascii="Arial" w:hAnsi="Arial" w:cs="Arial"/>
          <w:sz w:val="22"/>
          <w:szCs w:val="22"/>
        </w:rPr>
        <w:t>a) Authorised or required by law or an order of the courts to do otherwise.</w:t>
      </w:r>
    </w:p>
    <w:p w:rsidR="0087317A" w:rsidRPr="00BA2B8B" w:rsidRDefault="0087317A" w:rsidP="0087317A">
      <w:pPr>
        <w:pStyle w:val="ListParagraph"/>
        <w:spacing w:line="360" w:lineRule="auto"/>
        <w:rPr>
          <w:rFonts w:ascii="Arial" w:hAnsi="Arial" w:cs="Arial"/>
          <w:sz w:val="22"/>
          <w:szCs w:val="22"/>
        </w:rPr>
      </w:pPr>
      <w:r w:rsidRPr="00BA2B8B">
        <w:rPr>
          <w:rFonts w:ascii="Arial" w:hAnsi="Arial" w:cs="Arial"/>
          <w:sz w:val="22"/>
          <w:szCs w:val="22"/>
        </w:rPr>
        <w:t xml:space="preserve">b) In possession of written approval from the client/consumer to do so. </w:t>
      </w:r>
    </w:p>
    <w:p w:rsidR="0087317A" w:rsidRPr="00BA2B8B" w:rsidRDefault="0087317A" w:rsidP="0087317A">
      <w:pPr>
        <w:pStyle w:val="ListParagraph"/>
        <w:spacing w:line="360" w:lineRule="auto"/>
        <w:rPr>
          <w:rFonts w:ascii="Arial" w:hAnsi="Arial" w:cs="Arial"/>
          <w:sz w:val="22"/>
          <w:szCs w:val="22"/>
        </w:rPr>
      </w:pPr>
      <w:r w:rsidRPr="00BA2B8B">
        <w:rPr>
          <w:rFonts w:ascii="Arial" w:hAnsi="Arial" w:cs="Arial"/>
          <w:sz w:val="22"/>
          <w:szCs w:val="22"/>
        </w:rPr>
        <w:t>c) Required to release such information for the purpose of briefing auditors or inclusion in their annual reports.</w:t>
      </w:r>
    </w:p>
    <w:p w:rsidR="0087317A" w:rsidRPr="00BA2B8B" w:rsidRDefault="0087317A" w:rsidP="0087317A">
      <w:pPr>
        <w:pStyle w:val="ListParagraph"/>
        <w:spacing w:line="360" w:lineRule="auto"/>
        <w:rPr>
          <w:rFonts w:ascii="Arial" w:hAnsi="Arial" w:cs="Arial"/>
          <w:sz w:val="22"/>
          <w:szCs w:val="22"/>
        </w:rPr>
      </w:pPr>
    </w:p>
    <w:p w:rsidR="0087317A" w:rsidRPr="00BA2B8B" w:rsidRDefault="0087317A" w:rsidP="00FE04DC">
      <w:pPr>
        <w:pStyle w:val="ListParagraph"/>
        <w:numPr>
          <w:ilvl w:val="0"/>
          <w:numId w:val="8"/>
        </w:numPr>
        <w:spacing w:after="160" w:line="360" w:lineRule="auto"/>
        <w:ind w:left="720" w:hanging="720"/>
        <w:rPr>
          <w:rFonts w:ascii="Arial" w:hAnsi="Arial" w:cs="Arial"/>
          <w:b/>
          <w:bCs/>
          <w:sz w:val="22"/>
          <w:szCs w:val="22"/>
        </w:rPr>
      </w:pPr>
      <w:r w:rsidRPr="00BA2B8B">
        <w:rPr>
          <w:rFonts w:ascii="Arial" w:hAnsi="Arial" w:cs="Arial"/>
          <w:b/>
          <w:bCs/>
          <w:sz w:val="22"/>
          <w:szCs w:val="22"/>
        </w:rPr>
        <w:t>Feedback and Claim</w:t>
      </w:r>
      <w:r w:rsidR="007055F7" w:rsidRPr="00BA2B8B">
        <w:rPr>
          <w:rFonts w:ascii="Arial" w:hAnsi="Arial" w:cs="Arial"/>
          <w:b/>
          <w:bCs/>
          <w:sz w:val="22"/>
          <w:szCs w:val="22"/>
        </w:rPr>
        <w:t>s</w:t>
      </w:r>
    </w:p>
    <w:p w:rsidR="00BF6A9B" w:rsidRPr="00BA2B8B" w:rsidRDefault="0087317A" w:rsidP="00BA2B8B">
      <w:pPr>
        <w:spacing w:line="360" w:lineRule="auto"/>
        <w:ind w:left="720"/>
        <w:jc w:val="both"/>
      </w:pPr>
      <w:r w:rsidRPr="00BA2B8B">
        <w:rPr>
          <w:rFonts w:ascii="Arial" w:hAnsi="Arial" w:cs="Arial"/>
          <w:color w:val="242424"/>
          <w:shd w:val="clear" w:color="auto" w:fill="FFFFFF"/>
        </w:rPr>
        <w:t>The DRC will develop appropriate mechanisms by which it will solicit feedback and claims from stakeholders.</w:t>
      </w:r>
    </w:p>
    <w:sectPr w:rsidR="00BF6A9B" w:rsidRPr="00BA2B8B" w:rsidSect="00BA2B8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560" w:left="1440" w:header="720" w:footer="4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74" w:rsidRDefault="00937E74" w:rsidP="007F5C6A">
      <w:pPr>
        <w:spacing w:after="0" w:line="240" w:lineRule="auto"/>
      </w:pPr>
      <w:r>
        <w:separator/>
      </w:r>
    </w:p>
  </w:endnote>
  <w:endnote w:type="continuationSeparator" w:id="0">
    <w:p w:rsidR="00937E74" w:rsidRDefault="00937E74" w:rsidP="007F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tarSymbol">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343066"/>
      <w:docPartObj>
        <w:docPartGallery w:val="Page Numbers (Bottom of Page)"/>
        <w:docPartUnique/>
      </w:docPartObj>
    </w:sdtPr>
    <w:sdtEndPr>
      <w:rPr>
        <w:noProof/>
      </w:rPr>
    </w:sdtEndPr>
    <w:sdtContent>
      <w:p w:rsidR="007A5686" w:rsidRDefault="007A5686">
        <w:pPr>
          <w:pStyle w:val="Footer"/>
          <w:jc w:val="center"/>
        </w:pPr>
        <w:r>
          <w:fldChar w:fldCharType="begin"/>
        </w:r>
        <w:r>
          <w:instrText xml:space="preserve"> PAGE   \* MERGEFORMAT </w:instrText>
        </w:r>
        <w:r>
          <w:fldChar w:fldCharType="separate"/>
        </w:r>
        <w:r w:rsidR="00232D3A">
          <w:rPr>
            <w:noProof/>
          </w:rPr>
          <w:t>iii</w:t>
        </w:r>
        <w:r>
          <w:rPr>
            <w:noProof/>
          </w:rPr>
          <w:fldChar w:fldCharType="end"/>
        </w:r>
      </w:p>
    </w:sdtContent>
  </w:sdt>
  <w:p w:rsidR="007A5686" w:rsidRDefault="007A5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850424"/>
      <w:docPartObj>
        <w:docPartGallery w:val="Page Numbers (Bottom of Page)"/>
        <w:docPartUnique/>
      </w:docPartObj>
    </w:sdtPr>
    <w:sdtEndPr>
      <w:rPr>
        <w:color w:val="7F7F7F"/>
        <w:spacing w:val="60"/>
      </w:rPr>
    </w:sdtEndPr>
    <w:sdtContent>
      <w:p w:rsidR="007A5686" w:rsidRDefault="007A5686" w:rsidP="007A5686">
        <w:pPr>
          <w:pStyle w:val="Footer"/>
          <w:pBdr>
            <w:top w:val="single" w:sz="4" w:space="1" w:color="D9D9D9"/>
          </w:pBdr>
          <w:rPr>
            <w:b/>
            <w:bCs/>
          </w:rPr>
        </w:pPr>
        <w:r>
          <w:fldChar w:fldCharType="begin"/>
        </w:r>
        <w:r>
          <w:instrText xml:space="preserve"> PAGE   \* MERGEFORMAT </w:instrText>
        </w:r>
        <w:r>
          <w:fldChar w:fldCharType="separate"/>
        </w:r>
        <w:r w:rsidR="0087317A" w:rsidRPr="0087317A">
          <w:rPr>
            <w:b/>
            <w:bCs/>
            <w:noProof/>
          </w:rPr>
          <w:t>1</w:t>
        </w:r>
        <w:r>
          <w:rPr>
            <w:b/>
            <w:bCs/>
            <w:noProof/>
          </w:rPr>
          <w:fldChar w:fldCharType="end"/>
        </w:r>
        <w:r>
          <w:rPr>
            <w:b/>
            <w:bCs/>
          </w:rPr>
          <w:t xml:space="preserve"> | </w:t>
        </w:r>
        <w:r w:rsidRPr="007A5686">
          <w:rPr>
            <w:color w:val="7F7F7F"/>
            <w:spacing w:val="60"/>
          </w:rPr>
          <w:t>Page</w:t>
        </w:r>
      </w:p>
    </w:sdtContent>
  </w:sdt>
  <w:p w:rsidR="007A5686" w:rsidRDefault="007A5686">
    <w:pPr>
      <w:pStyle w:val="Paginierung"/>
      <w:tabs>
        <w:tab w:val="right" w:pos="68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03097303"/>
      <w:docPartObj>
        <w:docPartGallery w:val="Page Numbers (Bottom of Page)"/>
        <w:docPartUnique/>
      </w:docPartObj>
    </w:sdtPr>
    <w:sdtEndPr>
      <w:rPr>
        <w:rStyle w:val="PageNumber"/>
      </w:rPr>
    </w:sdtEndPr>
    <w:sdtContent>
      <w:p w:rsidR="00951EBA" w:rsidRDefault="00FE04DC" w:rsidP="004D51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51EBA" w:rsidRDefault="00937E74" w:rsidP="00951EB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5294347"/>
      <w:docPartObj>
        <w:docPartGallery w:val="Page Numbers (Bottom of Page)"/>
        <w:docPartUnique/>
      </w:docPartObj>
    </w:sdtPr>
    <w:sdtEndPr>
      <w:rPr>
        <w:rStyle w:val="PageNumber"/>
      </w:rPr>
    </w:sdtEndPr>
    <w:sdtContent>
      <w:p w:rsidR="00951EBA" w:rsidRDefault="00FE04DC" w:rsidP="00BA2B8B">
        <w:pPr>
          <w:pStyle w:val="Footer"/>
          <w:framePr w:w="376" w:wrap="none" w:vAnchor="text" w:hAnchor="page" w:x="10561" w:y="23"/>
          <w:rPr>
            <w:rStyle w:val="PageNumber"/>
          </w:rPr>
        </w:pPr>
        <w:r w:rsidRPr="00951EBA">
          <w:rPr>
            <w:rStyle w:val="PageNumber"/>
            <w:rFonts w:ascii="Arial" w:hAnsi="Arial" w:cs="Arial"/>
            <w:sz w:val="20"/>
            <w:szCs w:val="20"/>
          </w:rPr>
          <w:fldChar w:fldCharType="begin"/>
        </w:r>
        <w:r w:rsidRPr="00951EBA">
          <w:rPr>
            <w:rStyle w:val="PageNumber"/>
            <w:rFonts w:ascii="Arial" w:hAnsi="Arial" w:cs="Arial"/>
            <w:sz w:val="20"/>
            <w:szCs w:val="20"/>
          </w:rPr>
          <w:instrText xml:space="preserve"> PAGE </w:instrText>
        </w:r>
        <w:r w:rsidRPr="00951EBA">
          <w:rPr>
            <w:rStyle w:val="PageNumber"/>
            <w:rFonts w:ascii="Arial" w:hAnsi="Arial" w:cs="Arial"/>
            <w:sz w:val="20"/>
            <w:szCs w:val="20"/>
          </w:rPr>
          <w:fldChar w:fldCharType="separate"/>
        </w:r>
        <w:r w:rsidR="00232D3A">
          <w:rPr>
            <w:rStyle w:val="PageNumber"/>
            <w:rFonts w:ascii="Arial" w:hAnsi="Arial" w:cs="Arial"/>
            <w:noProof/>
            <w:sz w:val="20"/>
            <w:szCs w:val="20"/>
          </w:rPr>
          <w:t>9</w:t>
        </w:r>
        <w:r w:rsidRPr="00951EBA">
          <w:rPr>
            <w:rStyle w:val="PageNumber"/>
            <w:rFonts w:ascii="Arial" w:hAnsi="Arial" w:cs="Arial"/>
            <w:sz w:val="20"/>
            <w:szCs w:val="20"/>
          </w:rPr>
          <w:fldChar w:fldCharType="end"/>
        </w:r>
      </w:p>
    </w:sdtContent>
  </w:sdt>
  <w:p w:rsidR="00951EBA" w:rsidRDefault="00937E74" w:rsidP="00951EB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092987"/>
      <w:docPartObj>
        <w:docPartGallery w:val="Page Numbers (Bottom of Page)"/>
        <w:docPartUnique/>
      </w:docPartObj>
    </w:sdtPr>
    <w:sdtEndPr>
      <w:rPr>
        <w:noProof/>
      </w:rPr>
    </w:sdtEndPr>
    <w:sdtContent>
      <w:p w:rsidR="003F1F35" w:rsidRDefault="003F1F35">
        <w:pPr>
          <w:pStyle w:val="Footer"/>
          <w:jc w:val="right"/>
        </w:pPr>
        <w:r>
          <w:fldChar w:fldCharType="begin"/>
        </w:r>
        <w:r>
          <w:instrText xml:space="preserve"> PAGE   \* MERGEFORMAT </w:instrText>
        </w:r>
        <w:r>
          <w:fldChar w:fldCharType="separate"/>
        </w:r>
        <w:r w:rsidR="00232D3A">
          <w:rPr>
            <w:noProof/>
          </w:rPr>
          <w:t>1</w:t>
        </w:r>
        <w:r>
          <w:rPr>
            <w:noProof/>
          </w:rPr>
          <w:fldChar w:fldCharType="end"/>
        </w:r>
      </w:p>
    </w:sdtContent>
  </w:sdt>
  <w:p w:rsidR="002D3EC0" w:rsidRDefault="00937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74" w:rsidRDefault="00937E74" w:rsidP="007F5C6A">
      <w:pPr>
        <w:spacing w:after="0" w:line="240" w:lineRule="auto"/>
      </w:pPr>
      <w:r>
        <w:separator/>
      </w:r>
    </w:p>
  </w:footnote>
  <w:footnote w:type="continuationSeparator" w:id="0">
    <w:p w:rsidR="00937E74" w:rsidRDefault="00937E74" w:rsidP="007F5C6A">
      <w:pPr>
        <w:spacing w:after="0" w:line="240" w:lineRule="auto"/>
      </w:pPr>
      <w:r>
        <w:continuationSeparator/>
      </w:r>
    </w:p>
  </w:footnote>
  <w:footnote w:id="1">
    <w:p w:rsidR="0087317A" w:rsidRPr="003D7162" w:rsidRDefault="0087317A" w:rsidP="0087317A">
      <w:pPr>
        <w:pStyle w:val="FootnoteText"/>
        <w:rPr>
          <w:szCs w:val="16"/>
        </w:rPr>
      </w:pPr>
      <w:r w:rsidRPr="003D7162">
        <w:rPr>
          <w:rStyle w:val="FootnoteReference"/>
          <w:szCs w:val="16"/>
        </w:rPr>
        <w:footnoteRef/>
      </w:r>
      <w:r w:rsidRPr="003D7162">
        <w:rPr>
          <w:szCs w:val="16"/>
        </w:rPr>
        <w:t xml:space="preserve"> Section 91 of Electronic Communications Act, 2008 (Act 775).</w:t>
      </w:r>
    </w:p>
  </w:footnote>
  <w:footnote w:id="2">
    <w:p w:rsidR="0087317A" w:rsidRDefault="0087317A" w:rsidP="0087317A">
      <w:pPr>
        <w:pStyle w:val="FootnoteText"/>
        <w:rPr>
          <w:szCs w:val="16"/>
        </w:rPr>
      </w:pPr>
      <w:r>
        <w:rPr>
          <w:rStyle w:val="FootnoteReference"/>
          <w:szCs w:val="16"/>
        </w:rPr>
        <w:footnoteRef/>
      </w:r>
      <w:r>
        <w:rPr>
          <w:szCs w:val="16"/>
        </w:rPr>
        <w:t xml:space="preserve"> </w:t>
      </w:r>
      <w:r>
        <w:rPr>
          <w:szCs w:val="16"/>
        </w:rPr>
        <w:t xml:space="preserve">See </w:t>
      </w:r>
      <w:r>
        <w:rPr>
          <w:szCs w:val="16"/>
        </w:rPr>
        <w:t>Clause 5.2 of this Manual; Rule 1.6 of the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686" w:rsidRDefault="007A5686" w:rsidP="007A5686">
    <w:pPr>
      <w:pStyle w:val="Header"/>
    </w:pPr>
  </w:p>
  <w:p w:rsidR="00DC2468" w:rsidRDefault="00DC24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686" w:rsidRDefault="007A5686" w:rsidP="007A568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74" w:rsidRDefault="00937E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645483"/>
      <w:docPartObj>
        <w:docPartGallery w:val="Watermarks"/>
        <w:docPartUnique/>
      </w:docPartObj>
    </w:sdtPr>
    <w:sdtEndPr/>
    <w:sdtContent>
      <w:p w:rsidR="00D22D74" w:rsidRDefault="00937E7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74" w:rsidRDefault="00937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1287"/>
        </w:tabs>
        <w:ind w:left="1287" w:hanging="360"/>
      </w:pPr>
      <w:rPr>
        <w:rFonts w:ascii="Symbol" w:hAnsi="Symbol"/>
      </w:rPr>
    </w:lvl>
  </w:abstractNum>
  <w:abstractNum w:abstractNumId="2" w15:restartNumberingAfterBreak="0">
    <w:nsid w:val="00000003"/>
    <w:multiLevelType w:val="singleLevel"/>
    <w:tmpl w:val="00000003"/>
    <w:name w:val="WW8Num21"/>
    <w:lvl w:ilvl="0">
      <w:start w:val="1"/>
      <w:numFmt w:val="bullet"/>
      <w:lvlText w:val=""/>
      <w:lvlJc w:val="left"/>
      <w:pPr>
        <w:tabs>
          <w:tab w:val="num" w:pos="1287"/>
        </w:tabs>
        <w:ind w:left="1287" w:hanging="360"/>
      </w:pPr>
      <w:rPr>
        <w:rFonts w:ascii="Wingdings" w:hAnsi="Wingdings"/>
      </w:rPr>
    </w:lvl>
  </w:abstractNum>
  <w:abstractNum w:abstractNumId="3" w15:restartNumberingAfterBreak="0">
    <w:nsid w:val="00000004"/>
    <w:multiLevelType w:val="multilevel"/>
    <w:tmpl w:val="11D448AE"/>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rPr>
        <w:sz w:val="24"/>
        <w:szCs w:val="24"/>
      </w:rPr>
    </w:lvl>
    <w:lvl w:ilvl="2">
      <w:start w:val="1"/>
      <w:numFmt w:val="decimal"/>
      <w:pStyle w:val="Heading3"/>
      <w:lvlText w:val="%1.%2.%3"/>
      <w:lvlJc w:val="left"/>
      <w:pPr>
        <w:tabs>
          <w:tab w:val="num" w:pos="1031"/>
        </w:tabs>
        <w:ind w:left="1031" w:hanging="851"/>
      </w:pPr>
      <w:rPr>
        <w:b w:val="0"/>
        <w:bCs/>
      </w:rPr>
    </w:lvl>
    <w:lvl w:ilvl="3">
      <w:start w:val="1"/>
      <w:numFmt w:val="decimal"/>
      <w:pStyle w:val="Heading4"/>
      <w:lvlText w:val="%1.%2.%3.%4"/>
      <w:lvlJc w:val="left"/>
      <w:pPr>
        <w:tabs>
          <w:tab w:val="num" w:pos="851"/>
        </w:tabs>
        <w:ind w:left="851" w:hanging="851"/>
      </w:pPr>
    </w:lvl>
    <w:lvl w:ilvl="4">
      <w:start w:val="1"/>
      <w:numFmt w:val="decimal"/>
      <w:pStyle w:val="Heading5"/>
      <w:lvlText w:val="%1.%2.%3.%4.%5"/>
      <w:lvlJc w:val="left"/>
      <w:pPr>
        <w:tabs>
          <w:tab w:val="num" w:pos="1134"/>
        </w:tabs>
        <w:ind w:left="1134" w:hanging="1134"/>
      </w:pPr>
    </w:lvl>
    <w:lvl w:ilvl="5">
      <w:start w:val="1"/>
      <w:numFmt w:val="decimal"/>
      <w:pStyle w:val="Heading6"/>
      <w:lvlText w:val="%1.%2.%3.%4.%5.%6"/>
      <w:lvlJc w:val="left"/>
      <w:pPr>
        <w:tabs>
          <w:tab w:val="num" w:pos="1134"/>
        </w:tabs>
        <w:ind w:left="1134" w:hanging="1134"/>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029D718A"/>
    <w:multiLevelType w:val="hybridMultilevel"/>
    <w:tmpl w:val="F4920D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087DDA"/>
    <w:multiLevelType w:val="hybridMultilevel"/>
    <w:tmpl w:val="E4EA8D1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1DAA3A47"/>
    <w:multiLevelType w:val="multilevel"/>
    <w:tmpl w:val="A98A99B6"/>
    <w:lvl w:ilvl="0">
      <w:start w:val="1"/>
      <w:numFmt w:val="decimal"/>
      <w:pStyle w:val="SectionHeading"/>
      <w:lvlText w:val="%1."/>
      <w:lvlJc w:val="left"/>
      <w:pPr>
        <w:ind w:left="720" w:hanging="720"/>
      </w:pPr>
      <w:rPr>
        <w:rFonts w:ascii="Arial" w:hAnsi="Arial" w:cs="Arial" w:hint="default"/>
        <w:b/>
        <w:bCs/>
      </w:rPr>
    </w:lvl>
    <w:lvl w:ilvl="1">
      <w:start w:val="1"/>
      <w:numFmt w:val="decimal"/>
      <w:pStyle w:val="SectionSubheading"/>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24E33E9F"/>
    <w:multiLevelType w:val="hybridMultilevel"/>
    <w:tmpl w:val="5BDA498E"/>
    <w:lvl w:ilvl="0" w:tplc="04090017">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0800DE"/>
    <w:multiLevelType w:val="hybridMultilevel"/>
    <w:tmpl w:val="1D444422"/>
    <w:lvl w:ilvl="0" w:tplc="08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F6D120A"/>
    <w:multiLevelType w:val="multilevel"/>
    <w:tmpl w:val="B2063B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D2373E"/>
    <w:multiLevelType w:val="hybridMultilevel"/>
    <w:tmpl w:val="1CD44520"/>
    <w:lvl w:ilvl="0" w:tplc="A0182B6C">
      <w:start w:val="1"/>
      <w:numFmt w:val="lowerLetter"/>
      <w:lvlText w:val="%1)"/>
      <w:lvlJc w:val="left"/>
      <w:pPr>
        <w:ind w:left="1260" w:hanging="360"/>
      </w:pPr>
      <w:rPr>
        <w:rFonts w:hint="default"/>
      </w:r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11" w15:restartNumberingAfterBreak="0">
    <w:nsid w:val="3D5704DF"/>
    <w:multiLevelType w:val="hybridMultilevel"/>
    <w:tmpl w:val="A74EEAC4"/>
    <w:lvl w:ilvl="0" w:tplc="000C26FE">
      <w:start w:val="1"/>
      <w:numFmt w:val="decimal"/>
      <w:lvlText w:val="%1."/>
      <w:lvlJc w:val="left"/>
      <w:pPr>
        <w:ind w:left="1080" w:hanging="360"/>
      </w:pPr>
      <w:rPr>
        <w:rFonts w:ascii="Arial" w:hAnsi="Arial" w:cs="Arial" w:hint="default"/>
        <w:sz w:val="22"/>
        <w:szCs w:val="22"/>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D435BE"/>
    <w:multiLevelType w:val="hybridMultilevel"/>
    <w:tmpl w:val="E5826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375B74"/>
    <w:multiLevelType w:val="hybridMultilevel"/>
    <w:tmpl w:val="9356D7B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 w15:restartNumberingAfterBreak="0">
    <w:nsid w:val="7241073F"/>
    <w:multiLevelType w:val="multilevel"/>
    <w:tmpl w:val="AE547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F327798"/>
    <w:multiLevelType w:val="multilevel"/>
    <w:tmpl w:val="348C5C4C"/>
    <w:lvl w:ilvl="0">
      <w:start w:val="1"/>
      <w:numFmt w:val="lowerLetter"/>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num>
  <w:num w:numId="2">
    <w:abstractNumId w:val="4"/>
  </w:num>
  <w:num w:numId="3">
    <w:abstractNumId w:val="1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4"/>
  </w:num>
  <w:num w:numId="11">
    <w:abstractNumId w:val="7"/>
  </w:num>
  <w:num w:numId="12">
    <w:abstractNumId w:val="9"/>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6A"/>
    <w:rsid w:val="000D6FBF"/>
    <w:rsid w:val="001F221F"/>
    <w:rsid w:val="00232D3A"/>
    <w:rsid w:val="002815A2"/>
    <w:rsid w:val="003D08AF"/>
    <w:rsid w:val="003F1F35"/>
    <w:rsid w:val="0069511B"/>
    <w:rsid w:val="007055F7"/>
    <w:rsid w:val="00725F49"/>
    <w:rsid w:val="0077360D"/>
    <w:rsid w:val="007A5686"/>
    <w:rsid w:val="007F5C6A"/>
    <w:rsid w:val="0087317A"/>
    <w:rsid w:val="00937E74"/>
    <w:rsid w:val="00943E98"/>
    <w:rsid w:val="00944EEF"/>
    <w:rsid w:val="009D6896"/>
    <w:rsid w:val="009F27CD"/>
    <w:rsid w:val="00A22D21"/>
    <w:rsid w:val="00A73614"/>
    <w:rsid w:val="00AD243A"/>
    <w:rsid w:val="00B5788A"/>
    <w:rsid w:val="00BA2B8B"/>
    <w:rsid w:val="00BC2ACA"/>
    <w:rsid w:val="00BE41CF"/>
    <w:rsid w:val="00BF6A9B"/>
    <w:rsid w:val="00C0415C"/>
    <w:rsid w:val="00D63771"/>
    <w:rsid w:val="00DA54C5"/>
    <w:rsid w:val="00DC2468"/>
    <w:rsid w:val="00E53D28"/>
    <w:rsid w:val="00F23B47"/>
    <w:rsid w:val="00FE0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41648DE0"/>
  <w15:chartTrackingRefBased/>
  <w15:docId w15:val="{744E5E60-6154-4F23-9601-4F0A9BC4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21F"/>
  </w:style>
  <w:style w:type="paragraph" w:styleId="Heading1">
    <w:name w:val="heading 1"/>
    <w:basedOn w:val="ZZBasis"/>
    <w:next w:val="Flietext"/>
    <w:link w:val="Heading1Char"/>
    <w:qFormat/>
    <w:rsid w:val="007A5686"/>
    <w:pPr>
      <w:keepNext/>
      <w:keepLines/>
      <w:pageBreakBefore/>
      <w:numPr>
        <w:numId w:val="1"/>
      </w:numPr>
      <w:spacing w:before="113" w:line="360" w:lineRule="atLeast"/>
      <w:outlineLvl w:val="0"/>
    </w:pPr>
    <w:rPr>
      <w:rFonts w:ascii="Cambria" w:hAnsi="Cambria"/>
      <w:b/>
      <w:sz w:val="28"/>
    </w:rPr>
  </w:style>
  <w:style w:type="paragraph" w:styleId="Heading2">
    <w:name w:val="heading 2"/>
    <w:basedOn w:val="Heading1"/>
    <w:next w:val="Flietext"/>
    <w:link w:val="Heading2Char"/>
    <w:qFormat/>
    <w:rsid w:val="007A5686"/>
    <w:pPr>
      <w:pageBreakBefore w:val="0"/>
      <w:numPr>
        <w:ilvl w:val="1"/>
      </w:numPr>
      <w:spacing w:line="280" w:lineRule="atLeast"/>
      <w:outlineLvl w:val="1"/>
    </w:pPr>
    <w:rPr>
      <w:sz w:val="24"/>
    </w:rPr>
  </w:style>
  <w:style w:type="paragraph" w:styleId="Heading3">
    <w:name w:val="heading 3"/>
    <w:basedOn w:val="Heading2"/>
    <w:next w:val="Flietext"/>
    <w:link w:val="Heading3Char"/>
    <w:qFormat/>
    <w:rsid w:val="007A5686"/>
    <w:pPr>
      <w:numPr>
        <w:ilvl w:val="2"/>
      </w:numPr>
      <w:tabs>
        <w:tab w:val="clear" w:pos="1031"/>
        <w:tab w:val="num" w:pos="851"/>
      </w:tabs>
      <w:ind w:left="851"/>
      <w:outlineLvl w:val="2"/>
    </w:pPr>
  </w:style>
  <w:style w:type="paragraph" w:styleId="Heading4">
    <w:name w:val="heading 4"/>
    <w:basedOn w:val="Heading3"/>
    <w:next w:val="Flietext"/>
    <w:link w:val="Heading4Char"/>
    <w:qFormat/>
    <w:rsid w:val="007A5686"/>
    <w:pPr>
      <w:numPr>
        <w:ilvl w:val="3"/>
      </w:numPr>
      <w:spacing w:before="0" w:after="0"/>
      <w:jc w:val="both"/>
      <w:outlineLvl w:val="3"/>
    </w:pPr>
    <w:rPr>
      <w:b w:val="0"/>
    </w:rPr>
  </w:style>
  <w:style w:type="paragraph" w:styleId="Heading5">
    <w:name w:val="heading 5"/>
    <w:basedOn w:val="Heading4"/>
    <w:next w:val="Flietext"/>
    <w:link w:val="Heading5Char"/>
    <w:qFormat/>
    <w:rsid w:val="007A5686"/>
    <w:pPr>
      <w:numPr>
        <w:ilvl w:val="4"/>
      </w:numPr>
      <w:outlineLvl w:val="4"/>
    </w:pPr>
  </w:style>
  <w:style w:type="paragraph" w:styleId="Heading6">
    <w:name w:val="heading 6"/>
    <w:basedOn w:val="Heading5"/>
    <w:next w:val="Flietext"/>
    <w:link w:val="Heading6Char"/>
    <w:qFormat/>
    <w:rsid w:val="007A5686"/>
    <w:pPr>
      <w:numPr>
        <w:ilvl w:val="5"/>
      </w:numPr>
      <w:outlineLvl w:val="5"/>
    </w:pPr>
  </w:style>
  <w:style w:type="paragraph" w:styleId="Heading7">
    <w:name w:val="heading 7"/>
    <w:basedOn w:val="Normal"/>
    <w:next w:val="Normal"/>
    <w:link w:val="Heading7Char"/>
    <w:qFormat/>
    <w:rsid w:val="007A5686"/>
    <w:pPr>
      <w:numPr>
        <w:ilvl w:val="6"/>
        <w:numId w:val="1"/>
      </w:numPr>
      <w:suppressAutoHyphens/>
      <w:spacing w:before="240" w:after="60" w:line="280" w:lineRule="atLeast"/>
      <w:jc w:val="both"/>
      <w:outlineLvl w:val="6"/>
    </w:pPr>
    <w:rPr>
      <w:rFonts w:ascii="Cambria" w:eastAsia="Times New Roman" w:hAnsi="Cambria" w:cs="Times New Roman"/>
      <w:kern w:val="1"/>
      <w:sz w:val="24"/>
      <w:szCs w:val="20"/>
      <w:lang w:val="de-DE" w:eastAsia="ar-SA"/>
    </w:rPr>
  </w:style>
  <w:style w:type="paragraph" w:styleId="Heading8">
    <w:name w:val="heading 8"/>
    <w:basedOn w:val="Normal"/>
    <w:next w:val="Normal"/>
    <w:link w:val="Heading8Char"/>
    <w:qFormat/>
    <w:rsid w:val="007A5686"/>
    <w:pPr>
      <w:numPr>
        <w:ilvl w:val="7"/>
        <w:numId w:val="1"/>
      </w:numPr>
      <w:suppressAutoHyphens/>
      <w:spacing w:before="240" w:after="60" w:line="280" w:lineRule="atLeast"/>
      <w:jc w:val="both"/>
      <w:outlineLvl w:val="7"/>
    </w:pPr>
    <w:rPr>
      <w:rFonts w:ascii="Cambria" w:eastAsia="Times New Roman" w:hAnsi="Cambria" w:cs="Times New Roman"/>
      <w:i/>
      <w:kern w:val="1"/>
      <w:sz w:val="24"/>
      <w:szCs w:val="20"/>
      <w:lang w:val="de-DE" w:eastAsia="ar-SA"/>
    </w:rPr>
  </w:style>
  <w:style w:type="paragraph" w:styleId="Heading9">
    <w:name w:val="heading 9"/>
    <w:basedOn w:val="Normal"/>
    <w:next w:val="Normal"/>
    <w:link w:val="Heading9Char"/>
    <w:qFormat/>
    <w:rsid w:val="007A5686"/>
    <w:pPr>
      <w:numPr>
        <w:ilvl w:val="8"/>
        <w:numId w:val="1"/>
      </w:numPr>
      <w:suppressAutoHyphens/>
      <w:spacing w:before="240" w:after="60" w:line="280" w:lineRule="atLeast"/>
      <w:jc w:val="both"/>
      <w:outlineLvl w:val="8"/>
    </w:pPr>
    <w:rPr>
      <w:rFonts w:ascii="Cambria" w:eastAsia="Times New Roman" w:hAnsi="Cambria" w:cs="Times New Roman"/>
      <w:b/>
      <w:i/>
      <w:kern w:val="1"/>
      <w:sz w:val="18"/>
      <w:szCs w:val="20"/>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5C6A"/>
    <w:pPr>
      <w:widowControl w:val="0"/>
      <w:tabs>
        <w:tab w:val="center" w:pos="4513"/>
        <w:tab w:val="right" w:pos="9026"/>
      </w:tabs>
      <w:autoSpaceDE w:val="0"/>
      <w:autoSpaceDN w:val="0"/>
      <w:spacing w:after="0" w:line="240" w:lineRule="auto"/>
    </w:pPr>
    <w:rPr>
      <w:rFonts w:ascii="Garamond" w:eastAsia="Garamond" w:hAnsi="Garamond" w:cs="Garamond"/>
      <w:lang w:val="en-US"/>
    </w:rPr>
  </w:style>
  <w:style w:type="character" w:customStyle="1" w:styleId="FooterChar">
    <w:name w:val="Footer Char"/>
    <w:basedOn w:val="DefaultParagraphFont"/>
    <w:link w:val="Footer"/>
    <w:uiPriority w:val="99"/>
    <w:rsid w:val="007F5C6A"/>
    <w:rPr>
      <w:rFonts w:ascii="Garamond" w:eastAsia="Garamond" w:hAnsi="Garamond" w:cs="Garamond"/>
      <w:lang w:val="en-US"/>
    </w:rPr>
  </w:style>
  <w:style w:type="paragraph" w:styleId="Header">
    <w:name w:val="header"/>
    <w:basedOn w:val="Normal"/>
    <w:link w:val="HeaderChar"/>
    <w:uiPriority w:val="99"/>
    <w:unhideWhenUsed/>
    <w:rsid w:val="007F5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C6A"/>
  </w:style>
  <w:style w:type="paragraph" w:styleId="NoSpacing">
    <w:name w:val="No Spacing"/>
    <w:link w:val="NoSpacingChar"/>
    <w:uiPriority w:val="1"/>
    <w:qFormat/>
    <w:rsid w:val="007F5C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5C6A"/>
    <w:rPr>
      <w:rFonts w:eastAsiaTheme="minorEastAsia"/>
      <w:lang w:val="en-US"/>
    </w:rPr>
  </w:style>
  <w:style w:type="character" w:customStyle="1" w:styleId="Heading1Char">
    <w:name w:val="Heading 1 Char"/>
    <w:basedOn w:val="DefaultParagraphFont"/>
    <w:link w:val="Heading1"/>
    <w:rsid w:val="007A5686"/>
    <w:rPr>
      <w:rFonts w:ascii="Cambria" w:eastAsia="Times New Roman" w:hAnsi="Cambria" w:cs="Times New Roman"/>
      <w:b/>
      <w:kern w:val="1"/>
      <w:sz w:val="28"/>
      <w:szCs w:val="20"/>
      <w:lang w:val="de-DE" w:eastAsia="ar-SA"/>
    </w:rPr>
  </w:style>
  <w:style w:type="character" w:customStyle="1" w:styleId="Heading2Char">
    <w:name w:val="Heading 2 Char"/>
    <w:basedOn w:val="DefaultParagraphFont"/>
    <w:link w:val="Heading2"/>
    <w:rsid w:val="007A5686"/>
    <w:rPr>
      <w:rFonts w:ascii="Cambria" w:eastAsia="Times New Roman" w:hAnsi="Cambria" w:cs="Times New Roman"/>
      <w:b/>
      <w:kern w:val="1"/>
      <w:sz w:val="24"/>
      <w:szCs w:val="20"/>
      <w:lang w:val="de-DE" w:eastAsia="ar-SA"/>
    </w:rPr>
  </w:style>
  <w:style w:type="character" w:customStyle="1" w:styleId="Heading3Char">
    <w:name w:val="Heading 3 Char"/>
    <w:basedOn w:val="DefaultParagraphFont"/>
    <w:link w:val="Heading3"/>
    <w:rsid w:val="007A5686"/>
    <w:rPr>
      <w:rFonts w:ascii="Cambria" w:eastAsia="Times New Roman" w:hAnsi="Cambria" w:cs="Times New Roman"/>
      <w:b/>
      <w:kern w:val="1"/>
      <w:sz w:val="24"/>
      <w:szCs w:val="20"/>
      <w:lang w:val="de-DE" w:eastAsia="ar-SA"/>
    </w:rPr>
  </w:style>
  <w:style w:type="character" w:customStyle="1" w:styleId="Heading4Char">
    <w:name w:val="Heading 4 Char"/>
    <w:basedOn w:val="DefaultParagraphFont"/>
    <w:link w:val="Heading4"/>
    <w:rsid w:val="007A5686"/>
    <w:rPr>
      <w:rFonts w:ascii="Cambria" w:eastAsia="Times New Roman" w:hAnsi="Cambria" w:cs="Times New Roman"/>
      <w:kern w:val="1"/>
      <w:sz w:val="24"/>
      <w:szCs w:val="20"/>
      <w:lang w:val="de-DE" w:eastAsia="ar-SA"/>
    </w:rPr>
  </w:style>
  <w:style w:type="character" w:customStyle="1" w:styleId="Heading5Char">
    <w:name w:val="Heading 5 Char"/>
    <w:basedOn w:val="DefaultParagraphFont"/>
    <w:link w:val="Heading5"/>
    <w:rsid w:val="007A5686"/>
    <w:rPr>
      <w:rFonts w:ascii="Cambria" w:eastAsia="Times New Roman" w:hAnsi="Cambria" w:cs="Times New Roman"/>
      <w:kern w:val="1"/>
      <w:sz w:val="24"/>
      <w:szCs w:val="20"/>
      <w:lang w:val="de-DE" w:eastAsia="ar-SA"/>
    </w:rPr>
  </w:style>
  <w:style w:type="character" w:customStyle="1" w:styleId="Heading6Char">
    <w:name w:val="Heading 6 Char"/>
    <w:basedOn w:val="DefaultParagraphFont"/>
    <w:link w:val="Heading6"/>
    <w:rsid w:val="007A5686"/>
    <w:rPr>
      <w:rFonts w:ascii="Cambria" w:eastAsia="Times New Roman" w:hAnsi="Cambria" w:cs="Times New Roman"/>
      <w:kern w:val="1"/>
      <w:sz w:val="24"/>
      <w:szCs w:val="20"/>
      <w:lang w:val="de-DE" w:eastAsia="ar-SA"/>
    </w:rPr>
  </w:style>
  <w:style w:type="character" w:customStyle="1" w:styleId="Heading7Char">
    <w:name w:val="Heading 7 Char"/>
    <w:basedOn w:val="DefaultParagraphFont"/>
    <w:link w:val="Heading7"/>
    <w:rsid w:val="007A5686"/>
    <w:rPr>
      <w:rFonts w:ascii="Cambria" w:eastAsia="Times New Roman" w:hAnsi="Cambria" w:cs="Times New Roman"/>
      <w:kern w:val="1"/>
      <w:sz w:val="24"/>
      <w:szCs w:val="20"/>
      <w:lang w:val="de-DE" w:eastAsia="ar-SA"/>
    </w:rPr>
  </w:style>
  <w:style w:type="character" w:customStyle="1" w:styleId="Heading8Char">
    <w:name w:val="Heading 8 Char"/>
    <w:basedOn w:val="DefaultParagraphFont"/>
    <w:link w:val="Heading8"/>
    <w:rsid w:val="007A5686"/>
    <w:rPr>
      <w:rFonts w:ascii="Cambria" w:eastAsia="Times New Roman" w:hAnsi="Cambria" w:cs="Times New Roman"/>
      <w:i/>
      <w:kern w:val="1"/>
      <w:sz w:val="24"/>
      <w:szCs w:val="20"/>
      <w:lang w:val="de-DE" w:eastAsia="ar-SA"/>
    </w:rPr>
  </w:style>
  <w:style w:type="character" w:customStyle="1" w:styleId="Heading9Char">
    <w:name w:val="Heading 9 Char"/>
    <w:basedOn w:val="DefaultParagraphFont"/>
    <w:link w:val="Heading9"/>
    <w:rsid w:val="007A5686"/>
    <w:rPr>
      <w:rFonts w:ascii="Cambria" w:eastAsia="Times New Roman" w:hAnsi="Cambria" w:cs="Times New Roman"/>
      <w:b/>
      <w:i/>
      <w:kern w:val="1"/>
      <w:sz w:val="18"/>
      <w:szCs w:val="20"/>
      <w:lang w:val="de-DE" w:eastAsia="ar-SA"/>
    </w:rPr>
  </w:style>
  <w:style w:type="numbering" w:customStyle="1" w:styleId="NoList1">
    <w:name w:val="No List1"/>
    <w:next w:val="NoList"/>
    <w:uiPriority w:val="99"/>
    <w:semiHidden/>
    <w:unhideWhenUsed/>
    <w:rsid w:val="007A5686"/>
  </w:style>
  <w:style w:type="character" w:customStyle="1" w:styleId="WW8Num1z0">
    <w:name w:val="WW8Num1z0"/>
    <w:rsid w:val="007A5686"/>
    <w:rPr>
      <w:rFonts w:ascii="Symbol" w:hAnsi="Symbol"/>
    </w:rPr>
  </w:style>
  <w:style w:type="character" w:customStyle="1" w:styleId="WW8Num2z0">
    <w:name w:val="WW8Num2z0"/>
    <w:rsid w:val="007A5686"/>
    <w:rPr>
      <w:rFonts w:ascii="Symbol" w:hAnsi="Symbol"/>
    </w:rPr>
  </w:style>
  <w:style w:type="character" w:customStyle="1" w:styleId="WW8Num2z1">
    <w:name w:val="WW8Num2z1"/>
    <w:rsid w:val="007A5686"/>
    <w:rPr>
      <w:rFonts w:ascii="Courier New" w:hAnsi="Courier New" w:cs="Courier New"/>
    </w:rPr>
  </w:style>
  <w:style w:type="character" w:customStyle="1" w:styleId="WW8Num2z2">
    <w:name w:val="WW8Num2z2"/>
    <w:rsid w:val="007A5686"/>
    <w:rPr>
      <w:rFonts w:ascii="Wingdings" w:hAnsi="Wingdings"/>
    </w:rPr>
  </w:style>
  <w:style w:type="character" w:customStyle="1" w:styleId="WW8Num3z0">
    <w:name w:val="WW8Num3z0"/>
    <w:rsid w:val="007A5686"/>
    <w:rPr>
      <w:rFonts w:ascii="Symbol" w:hAnsi="Symbol"/>
    </w:rPr>
  </w:style>
  <w:style w:type="character" w:customStyle="1" w:styleId="WW8Num3z1">
    <w:name w:val="WW8Num3z1"/>
    <w:rsid w:val="007A5686"/>
    <w:rPr>
      <w:rFonts w:ascii="Courier New" w:hAnsi="Courier New" w:cs="Courier New"/>
    </w:rPr>
  </w:style>
  <w:style w:type="character" w:customStyle="1" w:styleId="WW8Num3z2">
    <w:name w:val="WW8Num3z2"/>
    <w:rsid w:val="007A5686"/>
    <w:rPr>
      <w:rFonts w:ascii="Wingdings" w:hAnsi="Wingdings"/>
    </w:rPr>
  </w:style>
  <w:style w:type="character" w:customStyle="1" w:styleId="WW8Num4z0">
    <w:name w:val="WW8Num4z0"/>
    <w:rsid w:val="007A5686"/>
    <w:rPr>
      <w:rFonts w:ascii="Arial" w:hAnsi="Arial"/>
      <w:b w:val="0"/>
      <w:i w:val="0"/>
      <w:sz w:val="16"/>
    </w:rPr>
  </w:style>
  <w:style w:type="character" w:customStyle="1" w:styleId="WW8Num6z0">
    <w:name w:val="WW8Num6z0"/>
    <w:rsid w:val="007A5686"/>
    <w:rPr>
      <w:rFonts w:ascii="Symbol" w:hAnsi="Symbol"/>
    </w:rPr>
  </w:style>
  <w:style w:type="character" w:customStyle="1" w:styleId="WW8Num6z1">
    <w:name w:val="WW8Num6z1"/>
    <w:rsid w:val="007A5686"/>
    <w:rPr>
      <w:rFonts w:ascii="Courier New" w:hAnsi="Courier New" w:cs="Courier New"/>
    </w:rPr>
  </w:style>
  <w:style w:type="character" w:customStyle="1" w:styleId="WW8Num6z2">
    <w:name w:val="WW8Num6z2"/>
    <w:rsid w:val="007A5686"/>
    <w:rPr>
      <w:rFonts w:ascii="Wingdings" w:hAnsi="Wingdings"/>
    </w:rPr>
  </w:style>
  <w:style w:type="character" w:customStyle="1" w:styleId="WW8Num7z0">
    <w:name w:val="WW8Num7z0"/>
    <w:rsid w:val="007A5686"/>
    <w:rPr>
      <w:rFonts w:ascii="Symbol" w:hAnsi="Symbol"/>
    </w:rPr>
  </w:style>
  <w:style w:type="character" w:customStyle="1" w:styleId="WW8Num7z1">
    <w:name w:val="WW8Num7z1"/>
    <w:rsid w:val="007A5686"/>
    <w:rPr>
      <w:rFonts w:ascii="Courier New" w:hAnsi="Courier New" w:cs="Courier New"/>
    </w:rPr>
  </w:style>
  <w:style w:type="character" w:customStyle="1" w:styleId="WW8Num7z2">
    <w:name w:val="WW8Num7z2"/>
    <w:rsid w:val="007A5686"/>
    <w:rPr>
      <w:rFonts w:ascii="Wingdings" w:hAnsi="Wingdings"/>
    </w:rPr>
  </w:style>
  <w:style w:type="character" w:customStyle="1" w:styleId="WW8Num9z0">
    <w:name w:val="WW8Num9z0"/>
    <w:rsid w:val="007A5686"/>
    <w:rPr>
      <w:rFonts w:ascii="Symbol" w:hAnsi="Symbol"/>
    </w:rPr>
  </w:style>
  <w:style w:type="character" w:customStyle="1" w:styleId="WW8Num9z1">
    <w:name w:val="WW8Num9z1"/>
    <w:rsid w:val="007A5686"/>
    <w:rPr>
      <w:rFonts w:ascii="Courier New" w:hAnsi="Courier New" w:cs="Courier New"/>
    </w:rPr>
  </w:style>
  <w:style w:type="character" w:customStyle="1" w:styleId="WW8Num9z2">
    <w:name w:val="WW8Num9z2"/>
    <w:rsid w:val="007A5686"/>
    <w:rPr>
      <w:rFonts w:ascii="Wingdings" w:hAnsi="Wingdings"/>
    </w:rPr>
  </w:style>
  <w:style w:type="character" w:customStyle="1" w:styleId="WW8Num10z0">
    <w:name w:val="WW8Num10z0"/>
    <w:rsid w:val="007A5686"/>
    <w:rPr>
      <w:rFonts w:ascii="Arial" w:hAnsi="Arial"/>
      <w:b w:val="0"/>
      <w:i w:val="0"/>
      <w:sz w:val="16"/>
    </w:rPr>
  </w:style>
  <w:style w:type="character" w:customStyle="1" w:styleId="WW8Num12z0">
    <w:name w:val="WW8Num12z0"/>
    <w:rsid w:val="007A5686"/>
    <w:rPr>
      <w:rFonts w:ascii="Symbol" w:hAnsi="Symbol"/>
    </w:rPr>
  </w:style>
  <w:style w:type="character" w:customStyle="1" w:styleId="WW8Num12z1">
    <w:name w:val="WW8Num12z1"/>
    <w:rsid w:val="007A5686"/>
    <w:rPr>
      <w:rFonts w:ascii="Courier New" w:hAnsi="Courier New" w:cs="Courier New"/>
    </w:rPr>
  </w:style>
  <w:style w:type="character" w:customStyle="1" w:styleId="WW8Num12z2">
    <w:name w:val="WW8Num12z2"/>
    <w:rsid w:val="007A5686"/>
    <w:rPr>
      <w:rFonts w:ascii="Wingdings" w:hAnsi="Wingdings"/>
    </w:rPr>
  </w:style>
  <w:style w:type="character" w:customStyle="1" w:styleId="WW8Num13z0">
    <w:name w:val="WW8Num13z0"/>
    <w:rsid w:val="007A5686"/>
    <w:rPr>
      <w:rFonts w:ascii="Symbol" w:hAnsi="Symbol"/>
    </w:rPr>
  </w:style>
  <w:style w:type="character" w:customStyle="1" w:styleId="WW8Num13z1">
    <w:name w:val="WW8Num13z1"/>
    <w:rsid w:val="007A5686"/>
    <w:rPr>
      <w:rFonts w:ascii="Courier New" w:hAnsi="Courier New" w:cs="Courier New"/>
    </w:rPr>
  </w:style>
  <w:style w:type="character" w:customStyle="1" w:styleId="WW8Num13z2">
    <w:name w:val="WW8Num13z2"/>
    <w:rsid w:val="007A5686"/>
    <w:rPr>
      <w:rFonts w:ascii="Wingdings" w:hAnsi="Wingdings"/>
    </w:rPr>
  </w:style>
  <w:style w:type="character" w:customStyle="1" w:styleId="WW8Num15z0">
    <w:name w:val="WW8Num15z0"/>
    <w:rsid w:val="007A5686"/>
    <w:rPr>
      <w:rFonts w:ascii="StarSymbol" w:hAnsi="StarSymbol"/>
    </w:rPr>
  </w:style>
  <w:style w:type="character" w:customStyle="1" w:styleId="WW8Num15z1">
    <w:name w:val="WW8Num15z1"/>
    <w:rsid w:val="007A5686"/>
    <w:rPr>
      <w:rFonts w:ascii="Courier New" w:hAnsi="Courier New" w:cs="Courier New"/>
    </w:rPr>
  </w:style>
  <w:style w:type="character" w:customStyle="1" w:styleId="WW8Num15z2">
    <w:name w:val="WW8Num15z2"/>
    <w:rsid w:val="007A5686"/>
    <w:rPr>
      <w:rFonts w:ascii="Wingdings" w:hAnsi="Wingdings"/>
    </w:rPr>
  </w:style>
  <w:style w:type="character" w:customStyle="1" w:styleId="WW8Num15z3">
    <w:name w:val="WW8Num15z3"/>
    <w:rsid w:val="007A5686"/>
    <w:rPr>
      <w:rFonts w:ascii="Symbol" w:hAnsi="Symbol"/>
    </w:rPr>
  </w:style>
  <w:style w:type="character" w:customStyle="1" w:styleId="WW8Num16z0">
    <w:name w:val="WW8Num16z0"/>
    <w:rsid w:val="007A5686"/>
    <w:rPr>
      <w:rFonts w:ascii="Symbol" w:hAnsi="Symbol"/>
    </w:rPr>
  </w:style>
  <w:style w:type="character" w:customStyle="1" w:styleId="WW8Num16z1">
    <w:name w:val="WW8Num16z1"/>
    <w:rsid w:val="007A5686"/>
    <w:rPr>
      <w:rFonts w:ascii="Courier New" w:hAnsi="Courier New" w:cs="Courier New"/>
    </w:rPr>
  </w:style>
  <w:style w:type="character" w:customStyle="1" w:styleId="WW8Num16z2">
    <w:name w:val="WW8Num16z2"/>
    <w:rsid w:val="007A5686"/>
    <w:rPr>
      <w:rFonts w:ascii="Wingdings" w:hAnsi="Wingdings"/>
    </w:rPr>
  </w:style>
  <w:style w:type="character" w:customStyle="1" w:styleId="WW8Num17z0">
    <w:name w:val="WW8Num17z0"/>
    <w:rsid w:val="007A5686"/>
    <w:rPr>
      <w:rFonts w:ascii="Symbol" w:hAnsi="Symbol"/>
    </w:rPr>
  </w:style>
  <w:style w:type="character" w:customStyle="1" w:styleId="WW8Num17z1">
    <w:name w:val="WW8Num17z1"/>
    <w:rsid w:val="007A5686"/>
    <w:rPr>
      <w:rFonts w:ascii="Courier New" w:hAnsi="Courier New" w:cs="Courier New"/>
    </w:rPr>
  </w:style>
  <w:style w:type="character" w:customStyle="1" w:styleId="WW8Num17z2">
    <w:name w:val="WW8Num17z2"/>
    <w:rsid w:val="007A5686"/>
    <w:rPr>
      <w:rFonts w:ascii="Wingdings" w:hAnsi="Wingdings"/>
    </w:rPr>
  </w:style>
  <w:style w:type="character" w:customStyle="1" w:styleId="WW8Num18z0">
    <w:name w:val="WW8Num18z0"/>
    <w:rsid w:val="007A5686"/>
    <w:rPr>
      <w:rFonts w:ascii="StarSymbol" w:hAnsi="StarSymbol"/>
    </w:rPr>
  </w:style>
  <w:style w:type="character" w:customStyle="1" w:styleId="WW8Num18z1">
    <w:name w:val="WW8Num18z1"/>
    <w:rsid w:val="007A5686"/>
    <w:rPr>
      <w:rFonts w:ascii="Courier New" w:hAnsi="Courier New" w:cs="Courier New"/>
    </w:rPr>
  </w:style>
  <w:style w:type="character" w:customStyle="1" w:styleId="WW8Num18z2">
    <w:name w:val="WW8Num18z2"/>
    <w:rsid w:val="007A5686"/>
    <w:rPr>
      <w:rFonts w:ascii="Wingdings" w:hAnsi="Wingdings"/>
    </w:rPr>
  </w:style>
  <w:style w:type="character" w:customStyle="1" w:styleId="WW8Num18z3">
    <w:name w:val="WW8Num18z3"/>
    <w:rsid w:val="007A5686"/>
    <w:rPr>
      <w:rFonts w:ascii="Symbol" w:hAnsi="Symbol"/>
    </w:rPr>
  </w:style>
  <w:style w:type="character" w:customStyle="1" w:styleId="WW8Num20z0">
    <w:name w:val="WW8Num20z0"/>
    <w:rsid w:val="007A5686"/>
    <w:rPr>
      <w:rFonts w:ascii="Arial" w:hAnsi="Arial"/>
      <w:b/>
      <w:i w:val="0"/>
      <w:sz w:val="28"/>
    </w:rPr>
  </w:style>
  <w:style w:type="character" w:customStyle="1" w:styleId="WW8Num21z0">
    <w:name w:val="WW8Num21z0"/>
    <w:rsid w:val="007A5686"/>
    <w:rPr>
      <w:rFonts w:ascii="Wingdings" w:hAnsi="Wingdings"/>
    </w:rPr>
  </w:style>
  <w:style w:type="character" w:customStyle="1" w:styleId="WW8Num21z1">
    <w:name w:val="WW8Num21z1"/>
    <w:rsid w:val="007A5686"/>
    <w:rPr>
      <w:rFonts w:ascii="Courier New" w:hAnsi="Courier New" w:cs="Courier New"/>
    </w:rPr>
  </w:style>
  <w:style w:type="character" w:customStyle="1" w:styleId="WW8Num21z3">
    <w:name w:val="WW8Num21z3"/>
    <w:rsid w:val="007A5686"/>
    <w:rPr>
      <w:rFonts w:ascii="Symbol" w:hAnsi="Symbol"/>
    </w:rPr>
  </w:style>
  <w:style w:type="character" w:customStyle="1" w:styleId="WW8Num22z0">
    <w:name w:val="WW8Num22z0"/>
    <w:rsid w:val="007A5686"/>
    <w:rPr>
      <w:rFonts w:ascii="Symbol" w:hAnsi="Symbol"/>
    </w:rPr>
  </w:style>
  <w:style w:type="character" w:customStyle="1" w:styleId="WW8Num22z1">
    <w:name w:val="WW8Num22z1"/>
    <w:rsid w:val="007A5686"/>
    <w:rPr>
      <w:rFonts w:ascii="Courier New" w:hAnsi="Courier New" w:cs="Courier New"/>
    </w:rPr>
  </w:style>
  <w:style w:type="character" w:customStyle="1" w:styleId="WW8Num22z2">
    <w:name w:val="WW8Num22z2"/>
    <w:rsid w:val="007A5686"/>
    <w:rPr>
      <w:rFonts w:ascii="Wingdings" w:hAnsi="Wingdings"/>
    </w:rPr>
  </w:style>
  <w:style w:type="character" w:customStyle="1" w:styleId="WW8Num23z0">
    <w:name w:val="WW8Num23z0"/>
    <w:rsid w:val="007A5686"/>
    <w:rPr>
      <w:rFonts w:ascii="Symbol" w:hAnsi="Symbol"/>
    </w:rPr>
  </w:style>
  <w:style w:type="character" w:customStyle="1" w:styleId="WW8Num23z1">
    <w:name w:val="WW8Num23z1"/>
    <w:rsid w:val="007A5686"/>
    <w:rPr>
      <w:rFonts w:ascii="Courier New" w:hAnsi="Courier New" w:cs="Courier New"/>
    </w:rPr>
  </w:style>
  <w:style w:type="character" w:customStyle="1" w:styleId="WW8Num23z2">
    <w:name w:val="WW8Num23z2"/>
    <w:rsid w:val="007A5686"/>
    <w:rPr>
      <w:rFonts w:ascii="Wingdings" w:hAnsi="Wingdings"/>
    </w:rPr>
  </w:style>
  <w:style w:type="character" w:customStyle="1" w:styleId="WW8Num24z0">
    <w:name w:val="WW8Num24z0"/>
    <w:rsid w:val="007A5686"/>
    <w:rPr>
      <w:rFonts w:ascii="Symbol" w:hAnsi="Symbol"/>
    </w:rPr>
  </w:style>
  <w:style w:type="character" w:customStyle="1" w:styleId="WW8Num24z1">
    <w:name w:val="WW8Num24z1"/>
    <w:rsid w:val="007A5686"/>
    <w:rPr>
      <w:rFonts w:ascii="Courier New" w:hAnsi="Courier New" w:cs="Courier New"/>
    </w:rPr>
  </w:style>
  <w:style w:type="character" w:customStyle="1" w:styleId="WW8Num24z2">
    <w:name w:val="WW8Num24z2"/>
    <w:rsid w:val="007A5686"/>
    <w:rPr>
      <w:rFonts w:ascii="Wingdings" w:hAnsi="Wingdings"/>
    </w:rPr>
  </w:style>
  <w:style w:type="character" w:customStyle="1" w:styleId="WW8Num25z0">
    <w:name w:val="WW8Num25z0"/>
    <w:rsid w:val="007A5686"/>
    <w:rPr>
      <w:rFonts w:ascii="Symbol" w:hAnsi="Symbol"/>
    </w:rPr>
  </w:style>
  <w:style w:type="character" w:customStyle="1" w:styleId="WW8Num25z1">
    <w:name w:val="WW8Num25z1"/>
    <w:rsid w:val="007A5686"/>
    <w:rPr>
      <w:rFonts w:ascii="Courier New" w:hAnsi="Courier New" w:cs="Courier New"/>
    </w:rPr>
  </w:style>
  <w:style w:type="character" w:customStyle="1" w:styleId="WW8Num25z2">
    <w:name w:val="WW8Num25z2"/>
    <w:rsid w:val="007A5686"/>
    <w:rPr>
      <w:rFonts w:ascii="Wingdings" w:hAnsi="Wingdings"/>
    </w:rPr>
  </w:style>
  <w:style w:type="character" w:customStyle="1" w:styleId="WW8Num26z0">
    <w:name w:val="WW8Num26z0"/>
    <w:rsid w:val="007A5686"/>
    <w:rPr>
      <w:rFonts w:ascii="Symbol" w:hAnsi="Symbol"/>
    </w:rPr>
  </w:style>
  <w:style w:type="character" w:customStyle="1" w:styleId="WW8Num26z1">
    <w:name w:val="WW8Num26z1"/>
    <w:rsid w:val="007A5686"/>
    <w:rPr>
      <w:rFonts w:ascii="Courier New" w:hAnsi="Courier New" w:cs="Courier New"/>
    </w:rPr>
  </w:style>
  <w:style w:type="character" w:customStyle="1" w:styleId="WW8Num26z2">
    <w:name w:val="WW8Num26z2"/>
    <w:rsid w:val="007A5686"/>
    <w:rPr>
      <w:rFonts w:ascii="Wingdings" w:hAnsi="Wingdings"/>
    </w:rPr>
  </w:style>
  <w:style w:type="character" w:customStyle="1" w:styleId="WW8Num27z0">
    <w:name w:val="WW8Num27z0"/>
    <w:rsid w:val="007A5686"/>
    <w:rPr>
      <w:rFonts w:ascii="Symbol" w:hAnsi="Symbol"/>
    </w:rPr>
  </w:style>
  <w:style w:type="character" w:customStyle="1" w:styleId="WW8Num27z1">
    <w:name w:val="WW8Num27z1"/>
    <w:rsid w:val="007A5686"/>
    <w:rPr>
      <w:rFonts w:ascii="Courier New" w:hAnsi="Courier New" w:cs="Courier New"/>
    </w:rPr>
  </w:style>
  <w:style w:type="character" w:customStyle="1" w:styleId="WW8Num27z2">
    <w:name w:val="WW8Num27z2"/>
    <w:rsid w:val="007A5686"/>
    <w:rPr>
      <w:rFonts w:ascii="Wingdings" w:hAnsi="Wingdings"/>
    </w:rPr>
  </w:style>
  <w:style w:type="character" w:customStyle="1" w:styleId="WW8Num28z0">
    <w:name w:val="WW8Num28z0"/>
    <w:rsid w:val="007A5686"/>
    <w:rPr>
      <w:rFonts w:ascii="Wingdings" w:hAnsi="Wingdings"/>
      <w:b w:val="0"/>
      <w:i w:val="0"/>
      <w:sz w:val="12"/>
    </w:rPr>
  </w:style>
  <w:style w:type="character" w:customStyle="1" w:styleId="Absatz-Standardschriftart1">
    <w:name w:val="Absatz-Standardschriftart1"/>
    <w:rsid w:val="007A5686"/>
  </w:style>
  <w:style w:type="character" w:customStyle="1" w:styleId="FootnoteCharacters">
    <w:name w:val="Footnote Characters"/>
    <w:rsid w:val="007A5686"/>
    <w:rPr>
      <w:vertAlign w:val="superscript"/>
    </w:rPr>
  </w:style>
  <w:style w:type="character" w:customStyle="1" w:styleId="EndnoteCharacters">
    <w:name w:val="Endnote Characters"/>
    <w:rsid w:val="007A5686"/>
    <w:rPr>
      <w:vertAlign w:val="superscript"/>
    </w:rPr>
  </w:style>
  <w:style w:type="character" w:styleId="PageNumber">
    <w:name w:val="page number"/>
    <w:basedOn w:val="Absatz-Standardschriftart1"/>
    <w:uiPriority w:val="99"/>
    <w:rsid w:val="007A5686"/>
  </w:style>
  <w:style w:type="character" w:styleId="Hyperlink">
    <w:name w:val="Hyperlink"/>
    <w:uiPriority w:val="99"/>
    <w:rsid w:val="007A5686"/>
    <w:rPr>
      <w:color w:val="0000FF"/>
      <w:u w:val="single"/>
    </w:rPr>
  </w:style>
  <w:style w:type="paragraph" w:customStyle="1" w:styleId="Heading">
    <w:name w:val="Heading"/>
    <w:basedOn w:val="Normal"/>
    <w:next w:val="BodyText"/>
    <w:rsid w:val="007A5686"/>
    <w:pPr>
      <w:keepNext/>
      <w:suppressAutoHyphens/>
      <w:spacing w:before="240" w:after="120" w:line="280" w:lineRule="atLeast"/>
      <w:jc w:val="both"/>
    </w:pPr>
    <w:rPr>
      <w:rFonts w:ascii="Cambria" w:eastAsia="Mincho" w:hAnsi="Cambria" w:cs="Lucidasans"/>
      <w:kern w:val="1"/>
      <w:sz w:val="28"/>
      <w:szCs w:val="28"/>
      <w:lang w:val="de-DE" w:eastAsia="ar-SA"/>
    </w:rPr>
  </w:style>
  <w:style w:type="paragraph" w:styleId="BodyText">
    <w:name w:val="Body Text"/>
    <w:basedOn w:val="Normal"/>
    <w:link w:val="BodyTextChar"/>
    <w:rsid w:val="007A5686"/>
    <w:pPr>
      <w:suppressAutoHyphens/>
      <w:spacing w:after="120" w:line="280" w:lineRule="atLeast"/>
      <w:jc w:val="both"/>
    </w:pPr>
    <w:rPr>
      <w:rFonts w:ascii="Cambria" w:eastAsia="Times New Roman" w:hAnsi="Cambria" w:cs="Times New Roman"/>
      <w:kern w:val="1"/>
      <w:sz w:val="24"/>
      <w:szCs w:val="20"/>
      <w:lang w:val="de-DE" w:eastAsia="ar-SA"/>
    </w:rPr>
  </w:style>
  <w:style w:type="character" w:customStyle="1" w:styleId="BodyTextChar">
    <w:name w:val="Body Text Char"/>
    <w:basedOn w:val="DefaultParagraphFont"/>
    <w:link w:val="BodyText"/>
    <w:rsid w:val="007A5686"/>
    <w:rPr>
      <w:rFonts w:ascii="Cambria" w:eastAsia="Times New Roman" w:hAnsi="Cambria" w:cs="Times New Roman"/>
      <w:kern w:val="1"/>
      <w:sz w:val="24"/>
      <w:szCs w:val="20"/>
      <w:lang w:val="de-DE" w:eastAsia="ar-SA"/>
    </w:rPr>
  </w:style>
  <w:style w:type="paragraph" w:styleId="List">
    <w:name w:val="List"/>
    <w:basedOn w:val="ZZBasis"/>
    <w:rsid w:val="007A5686"/>
  </w:style>
  <w:style w:type="paragraph" w:customStyle="1" w:styleId="Beschriftung1">
    <w:name w:val="Beschriftung1"/>
    <w:basedOn w:val="Normal"/>
    <w:rsid w:val="007A5686"/>
    <w:pPr>
      <w:suppressLineNumbers/>
      <w:suppressAutoHyphens/>
      <w:spacing w:before="120" w:after="120" w:line="280" w:lineRule="atLeast"/>
      <w:jc w:val="both"/>
    </w:pPr>
    <w:rPr>
      <w:rFonts w:ascii="Cambria" w:eastAsia="Times New Roman" w:hAnsi="Cambria" w:cs="Lucidasans"/>
      <w:i/>
      <w:iCs/>
      <w:kern w:val="1"/>
      <w:sz w:val="24"/>
      <w:szCs w:val="24"/>
      <w:lang w:val="de-DE" w:eastAsia="ar-SA"/>
    </w:rPr>
  </w:style>
  <w:style w:type="paragraph" w:customStyle="1" w:styleId="Index">
    <w:name w:val="Index"/>
    <w:basedOn w:val="Normal"/>
    <w:rsid w:val="007A5686"/>
    <w:pPr>
      <w:suppressLineNumbers/>
      <w:suppressAutoHyphens/>
      <w:spacing w:after="113" w:line="280" w:lineRule="atLeast"/>
      <w:jc w:val="both"/>
    </w:pPr>
    <w:rPr>
      <w:rFonts w:ascii="Cambria" w:eastAsia="Times New Roman" w:hAnsi="Cambria" w:cs="Lucidasans"/>
      <w:kern w:val="1"/>
      <w:sz w:val="24"/>
      <w:szCs w:val="20"/>
      <w:lang w:val="de-DE" w:eastAsia="ar-SA"/>
    </w:rPr>
  </w:style>
  <w:style w:type="paragraph" w:customStyle="1" w:styleId="ZZBasis">
    <w:name w:val="ZZ_Basis"/>
    <w:rsid w:val="007A5686"/>
    <w:pPr>
      <w:suppressAutoHyphens/>
      <w:spacing w:after="113" w:line="280" w:lineRule="atLeast"/>
    </w:pPr>
    <w:rPr>
      <w:rFonts w:ascii="Arial" w:eastAsia="Times New Roman" w:hAnsi="Arial" w:cs="Times New Roman"/>
      <w:kern w:val="1"/>
      <w:sz w:val="20"/>
      <w:szCs w:val="20"/>
      <w:lang w:val="de-DE" w:eastAsia="ar-SA"/>
    </w:rPr>
  </w:style>
  <w:style w:type="paragraph" w:customStyle="1" w:styleId="Dokumentstruktur1">
    <w:name w:val="Dokumentstruktur1"/>
    <w:basedOn w:val="Normal"/>
    <w:rsid w:val="007A5686"/>
    <w:pPr>
      <w:shd w:val="clear" w:color="auto" w:fill="000080"/>
      <w:suppressAutoHyphens/>
      <w:spacing w:after="113" w:line="280" w:lineRule="atLeast"/>
      <w:jc w:val="both"/>
    </w:pPr>
    <w:rPr>
      <w:rFonts w:ascii="Tahoma" w:eastAsia="Times New Roman" w:hAnsi="Tahoma" w:cs="Times New Roman"/>
      <w:kern w:val="1"/>
      <w:sz w:val="24"/>
      <w:szCs w:val="20"/>
      <w:lang w:val="de-DE" w:eastAsia="ar-SA"/>
    </w:rPr>
  </w:style>
  <w:style w:type="paragraph" w:customStyle="1" w:styleId="Rechtsgrundlagenverzeichnis1">
    <w:name w:val="Rechtsgrundlagenverzeichnis1"/>
    <w:basedOn w:val="Normal"/>
    <w:next w:val="Normal"/>
    <w:rsid w:val="007A5686"/>
    <w:pPr>
      <w:suppressAutoHyphens/>
      <w:spacing w:after="113" w:line="280" w:lineRule="atLeast"/>
      <w:ind w:left="200" w:hanging="200"/>
      <w:jc w:val="both"/>
    </w:pPr>
    <w:rPr>
      <w:rFonts w:ascii="Cambria" w:eastAsia="Times New Roman" w:hAnsi="Cambria" w:cs="Times New Roman"/>
      <w:kern w:val="1"/>
      <w:sz w:val="24"/>
      <w:szCs w:val="20"/>
      <w:lang w:val="de-DE" w:eastAsia="ar-SA"/>
    </w:rPr>
  </w:style>
  <w:style w:type="paragraph" w:customStyle="1" w:styleId="BeschriftungTabelle">
    <w:name w:val="Beschriftung Tabelle"/>
    <w:basedOn w:val="Normal"/>
    <w:next w:val="Flietext"/>
    <w:rsid w:val="007A5686"/>
    <w:pPr>
      <w:keepNext/>
      <w:tabs>
        <w:tab w:val="left" w:pos="993"/>
      </w:tabs>
      <w:suppressAutoHyphens/>
      <w:spacing w:before="113" w:after="680" w:line="200" w:lineRule="atLeast"/>
      <w:ind w:left="567"/>
      <w:jc w:val="both"/>
    </w:pPr>
    <w:rPr>
      <w:rFonts w:ascii="Cambria" w:eastAsia="Times New Roman" w:hAnsi="Cambria" w:cs="Times New Roman"/>
      <w:kern w:val="1"/>
      <w:sz w:val="16"/>
      <w:szCs w:val="20"/>
      <w:lang w:val="en-US" w:eastAsia="ar-SA"/>
    </w:rPr>
  </w:style>
  <w:style w:type="paragraph" w:styleId="FootnoteText">
    <w:name w:val="footnote text"/>
    <w:basedOn w:val="ZZBasis"/>
    <w:link w:val="FootnoteTextChar"/>
    <w:uiPriority w:val="99"/>
    <w:semiHidden/>
    <w:rsid w:val="007A5686"/>
    <w:pPr>
      <w:spacing w:line="200" w:lineRule="atLeast"/>
    </w:pPr>
    <w:rPr>
      <w:sz w:val="16"/>
    </w:rPr>
  </w:style>
  <w:style w:type="character" w:customStyle="1" w:styleId="FootnoteTextChar">
    <w:name w:val="Footnote Text Char"/>
    <w:basedOn w:val="DefaultParagraphFont"/>
    <w:link w:val="FootnoteText"/>
    <w:uiPriority w:val="99"/>
    <w:semiHidden/>
    <w:rsid w:val="007A5686"/>
    <w:rPr>
      <w:rFonts w:ascii="Arial" w:eastAsia="Times New Roman" w:hAnsi="Arial" w:cs="Times New Roman"/>
      <w:kern w:val="1"/>
      <w:sz w:val="16"/>
      <w:szCs w:val="20"/>
      <w:lang w:val="de-DE" w:eastAsia="ar-SA"/>
    </w:rPr>
  </w:style>
  <w:style w:type="paragraph" w:styleId="Quote">
    <w:name w:val="Quote"/>
    <w:basedOn w:val="Normal"/>
    <w:link w:val="QuoteChar"/>
    <w:qFormat/>
    <w:rsid w:val="007A5686"/>
    <w:pPr>
      <w:suppressAutoHyphens/>
      <w:spacing w:after="113" w:line="280" w:lineRule="atLeast"/>
      <w:jc w:val="both"/>
    </w:pPr>
    <w:rPr>
      <w:rFonts w:ascii="Cambria" w:eastAsia="Times New Roman" w:hAnsi="Cambria" w:cs="Times New Roman"/>
      <w:i/>
      <w:kern w:val="1"/>
      <w:sz w:val="24"/>
      <w:szCs w:val="20"/>
      <w:lang w:val="de-DE" w:eastAsia="ar-SA"/>
    </w:rPr>
  </w:style>
  <w:style w:type="character" w:customStyle="1" w:styleId="QuoteChar">
    <w:name w:val="Quote Char"/>
    <w:basedOn w:val="DefaultParagraphFont"/>
    <w:link w:val="Quote"/>
    <w:rsid w:val="007A5686"/>
    <w:rPr>
      <w:rFonts w:ascii="Cambria" w:eastAsia="Times New Roman" w:hAnsi="Cambria" w:cs="Times New Roman"/>
      <w:i/>
      <w:kern w:val="1"/>
      <w:sz w:val="24"/>
      <w:szCs w:val="20"/>
      <w:lang w:val="de-DE" w:eastAsia="ar-SA"/>
    </w:rPr>
  </w:style>
  <w:style w:type="paragraph" w:customStyle="1" w:styleId="Flietext">
    <w:name w:val="Fließtext"/>
    <w:rsid w:val="007A5686"/>
    <w:pPr>
      <w:suppressAutoHyphens/>
      <w:spacing w:after="120" w:line="280" w:lineRule="atLeast"/>
      <w:ind w:left="567"/>
    </w:pPr>
    <w:rPr>
      <w:rFonts w:ascii="Arial" w:eastAsia="Times New Roman" w:hAnsi="Arial" w:cs="Times New Roman"/>
      <w:sz w:val="20"/>
      <w:szCs w:val="20"/>
      <w:lang w:val="de-DE" w:eastAsia="ar-SA"/>
    </w:rPr>
  </w:style>
  <w:style w:type="paragraph" w:styleId="Title">
    <w:name w:val="Title"/>
    <w:basedOn w:val="ZZBasis"/>
    <w:next w:val="Normal"/>
    <w:link w:val="TitleChar"/>
    <w:qFormat/>
    <w:rsid w:val="007A5686"/>
    <w:pPr>
      <w:spacing w:after="567" w:line="560" w:lineRule="atLeast"/>
    </w:pPr>
    <w:rPr>
      <w:b/>
      <w:sz w:val="48"/>
    </w:rPr>
  </w:style>
  <w:style w:type="character" w:customStyle="1" w:styleId="TitleChar">
    <w:name w:val="Title Char"/>
    <w:basedOn w:val="DefaultParagraphFont"/>
    <w:link w:val="Title"/>
    <w:rsid w:val="007A5686"/>
    <w:rPr>
      <w:rFonts w:ascii="Arial" w:eastAsia="Times New Roman" w:hAnsi="Arial" w:cs="Times New Roman"/>
      <w:b/>
      <w:kern w:val="1"/>
      <w:sz w:val="48"/>
      <w:szCs w:val="20"/>
      <w:lang w:val="de-DE" w:eastAsia="ar-SA"/>
    </w:rPr>
  </w:style>
  <w:style w:type="paragraph" w:styleId="Subtitle">
    <w:name w:val="Subtitle"/>
    <w:basedOn w:val="Heading"/>
    <w:next w:val="BodyText"/>
    <w:link w:val="SubtitleChar"/>
    <w:qFormat/>
    <w:rsid w:val="007A5686"/>
    <w:pPr>
      <w:jc w:val="center"/>
    </w:pPr>
    <w:rPr>
      <w:i/>
      <w:iCs/>
    </w:rPr>
  </w:style>
  <w:style w:type="character" w:customStyle="1" w:styleId="SubtitleChar">
    <w:name w:val="Subtitle Char"/>
    <w:basedOn w:val="DefaultParagraphFont"/>
    <w:link w:val="Subtitle"/>
    <w:rsid w:val="007A5686"/>
    <w:rPr>
      <w:rFonts w:ascii="Cambria" w:eastAsia="Mincho" w:hAnsi="Cambria" w:cs="Lucidasans"/>
      <w:i/>
      <w:iCs/>
      <w:kern w:val="1"/>
      <w:sz w:val="28"/>
      <w:szCs w:val="28"/>
      <w:lang w:val="de-DE" w:eastAsia="ar-SA"/>
    </w:rPr>
  </w:style>
  <w:style w:type="paragraph" w:styleId="TOC1">
    <w:name w:val="toc 1"/>
    <w:next w:val="Normal"/>
    <w:uiPriority w:val="39"/>
    <w:rsid w:val="007A5686"/>
    <w:pPr>
      <w:tabs>
        <w:tab w:val="right" w:leader="dot" w:pos="9487"/>
      </w:tabs>
      <w:spacing w:before="120" w:after="0" w:line="240" w:lineRule="auto"/>
    </w:pPr>
    <w:rPr>
      <w:rFonts w:ascii="Cambria" w:eastAsia="Times New Roman" w:hAnsi="Cambria" w:cs="Times New Roman"/>
      <w:b/>
      <w:bCs/>
      <w:kern w:val="22"/>
      <w:szCs w:val="20"/>
      <w:lang w:val="en-US" w:eastAsia="ar-SA"/>
    </w:rPr>
  </w:style>
  <w:style w:type="paragraph" w:customStyle="1" w:styleId="Paginierung">
    <w:name w:val="Paginierung"/>
    <w:basedOn w:val="ZZBasis"/>
    <w:rsid w:val="007A5686"/>
    <w:pPr>
      <w:spacing w:after="0" w:line="220" w:lineRule="atLeast"/>
    </w:pPr>
    <w:rPr>
      <w:sz w:val="14"/>
    </w:rPr>
  </w:style>
  <w:style w:type="paragraph" w:styleId="TOC2">
    <w:name w:val="toc 2"/>
    <w:basedOn w:val="TOC1"/>
    <w:next w:val="Normal"/>
    <w:uiPriority w:val="39"/>
    <w:rsid w:val="007A5686"/>
    <w:pPr>
      <w:spacing w:before="0"/>
    </w:pPr>
    <w:rPr>
      <w:b w:val="0"/>
      <w:bCs w:val="0"/>
    </w:rPr>
  </w:style>
  <w:style w:type="paragraph" w:customStyle="1" w:styleId="Tabellenzelle">
    <w:name w:val="Tabellenzelle"/>
    <w:basedOn w:val="ZZBasis"/>
    <w:rsid w:val="007A5686"/>
    <w:pPr>
      <w:spacing w:after="0"/>
    </w:pPr>
    <w:rPr>
      <w:sz w:val="18"/>
    </w:rPr>
  </w:style>
  <w:style w:type="paragraph" w:styleId="TOC3">
    <w:name w:val="toc 3"/>
    <w:basedOn w:val="TOC2"/>
    <w:next w:val="Normal"/>
    <w:uiPriority w:val="39"/>
    <w:rsid w:val="007A5686"/>
    <w:rPr>
      <w:iCs/>
    </w:rPr>
  </w:style>
  <w:style w:type="paragraph" w:styleId="TOC4">
    <w:name w:val="toc 4"/>
    <w:basedOn w:val="TOC3"/>
    <w:next w:val="Normal"/>
    <w:uiPriority w:val="39"/>
    <w:rsid w:val="007A5686"/>
    <w:pPr>
      <w:ind w:left="600"/>
    </w:pPr>
    <w:rPr>
      <w:i/>
      <w:iCs w:val="0"/>
      <w:sz w:val="18"/>
      <w:szCs w:val="18"/>
    </w:rPr>
  </w:style>
  <w:style w:type="paragraph" w:styleId="EndnoteText">
    <w:name w:val="endnote text"/>
    <w:basedOn w:val="Normal"/>
    <w:link w:val="EndnoteTextChar"/>
    <w:semiHidden/>
    <w:rsid w:val="007A5686"/>
    <w:pPr>
      <w:suppressAutoHyphens/>
      <w:spacing w:after="113" w:line="280" w:lineRule="atLeast"/>
      <w:jc w:val="both"/>
    </w:pPr>
    <w:rPr>
      <w:rFonts w:ascii="Cambria" w:eastAsia="Times New Roman" w:hAnsi="Cambria" w:cs="Times New Roman"/>
      <w:kern w:val="1"/>
      <w:sz w:val="24"/>
      <w:szCs w:val="20"/>
      <w:lang w:val="de-DE" w:eastAsia="ar-SA"/>
    </w:rPr>
  </w:style>
  <w:style w:type="character" w:customStyle="1" w:styleId="EndnoteTextChar">
    <w:name w:val="Endnote Text Char"/>
    <w:basedOn w:val="DefaultParagraphFont"/>
    <w:link w:val="EndnoteText"/>
    <w:semiHidden/>
    <w:rsid w:val="007A5686"/>
    <w:rPr>
      <w:rFonts w:ascii="Cambria" w:eastAsia="Times New Roman" w:hAnsi="Cambria" w:cs="Times New Roman"/>
      <w:kern w:val="1"/>
      <w:sz w:val="24"/>
      <w:szCs w:val="20"/>
      <w:lang w:val="de-DE" w:eastAsia="ar-SA"/>
    </w:rPr>
  </w:style>
  <w:style w:type="paragraph" w:customStyle="1" w:styleId="Listenfortsetzung1">
    <w:name w:val="Listenfortsetzung1"/>
    <w:basedOn w:val="ZZBasis"/>
    <w:rsid w:val="007A5686"/>
    <w:pPr>
      <w:ind w:left="567"/>
    </w:pPr>
  </w:style>
  <w:style w:type="paragraph" w:customStyle="1" w:styleId="Autor">
    <w:name w:val="Autor"/>
    <w:basedOn w:val="Normal"/>
    <w:rsid w:val="007A5686"/>
    <w:pPr>
      <w:tabs>
        <w:tab w:val="left" w:pos="851"/>
        <w:tab w:val="left" w:pos="6874"/>
      </w:tabs>
      <w:suppressAutoHyphens/>
      <w:spacing w:after="0" w:line="280" w:lineRule="atLeast"/>
      <w:ind w:left="851"/>
      <w:jc w:val="both"/>
    </w:pPr>
    <w:rPr>
      <w:rFonts w:ascii="Cambria" w:eastAsia="Times New Roman" w:hAnsi="Cambria" w:cs="Times New Roman"/>
      <w:kern w:val="1"/>
      <w:sz w:val="24"/>
      <w:szCs w:val="20"/>
      <w:lang w:val="de-DE" w:eastAsia="ar-SA"/>
    </w:rPr>
  </w:style>
  <w:style w:type="paragraph" w:customStyle="1" w:styleId="SIGOSNormaltext">
    <w:name w:val="SIGOS_Normal_text"/>
    <w:rsid w:val="007A5686"/>
    <w:pPr>
      <w:suppressAutoHyphens/>
      <w:overflowPunct w:val="0"/>
      <w:autoSpaceDE w:val="0"/>
      <w:spacing w:after="120" w:line="100" w:lineRule="atLeast"/>
      <w:textAlignment w:val="baseline"/>
    </w:pPr>
    <w:rPr>
      <w:rFonts w:ascii="Arial" w:eastAsia="Times New Roman" w:hAnsi="Arial" w:cs="Times New Roman"/>
      <w:kern w:val="1"/>
      <w:sz w:val="20"/>
      <w:szCs w:val="20"/>
      <w:lang w:val="en-US" w:eastAsia="ar-SA"/>
    </w:rPr>
  </w:style>
  <w:style w:type="paragraph" w:customStyle="1" w:styleId="TableContents">
    <w:name w:val="Table Contents"/>
    <w:basedOn w:val="Normal"/>
    <w:rsid w:val="007A5686"/>
    <w:pPr>
      <w:suppressLineNumbers/>
      <w:suppressAutoHyphens/>
      <w:overflowPunct w:val="0"/>
      <w:autoSpaceDE w:val="0"/>
      <w:spacing w:before="57" w:after="57" w:line="100" w:lineRule="atLeast"/>
      <w:jc w:val="both"/>
      <w:textAlignment w:val="baseline"/>
    </w:pPr>
    <w:rPr>
      <w:rFonts w:ascii="Cambria" w:eastAsia="Times New Roman" w:hAnsi="Cambria" w:cs="Times New Roman"/>
      <w:kern w:val="1"/>
      <w:szCs w:val="20"/>
      <w:lang w:val="de-DE" w:eastAsia="ar-SA"/>
    </w:rPr>
  </w:style>
  <w:style w:type="paragraph" w:styleId="TOC5">
    <w:name w:val="toc 5"/>
    <w:basedOn w:val="TOC4"/>
    <w:next w:val="Normal"/>
    <w:uiPriority w:val="39"/>
    <w:rsid w:val="007A5686"/>
    <w:pPr>
      <w:ind w:left="800"/>
    </w:pPr>
  </w:style>
  <w:style w:type="paragraph" w:styleId="TOC6">
    <w:name w:val="toc 6"/>
    <w:basedOn w:val="TOC5"/>
    <w:next w:val="Normal"/>
    <w:semiHidden/>
    <w:rsid w:val="007A5686"/>
    <w:pPr>
      <w:ind w:left="1000"/>
    </w:pPr>
  </w:style>
  <w:style w:type="paragraph" w:customStyle="1" w:styleId="Inhaltsverzeichnis">
    <w:name w:val="Inhaltsverzeichnis"/>
    <w:rsid w:val="007A5686"/>
    <w:pPr>
      <w:suppressAutoHyphens/>
      <w:spacing w:after="0" w:line="340" w:lineRule="atLeast"/>
      <w:ind w:left="1418"/>
    </w:pPr>
    <w:rPr>
      <w:rFonts w:ascii="Arial" w:eastAsia="Times New Roman" w:hAnsi="Arial" w:cs="Times New Roman"/>
      <w:b/>
      <w:sz w:val="28"/>
      <w:szCs w:val="20"/>
      <w:lang w:val="de-DE" w:eastAsia="ar-SA"/>
    </w:rPr>
  </w:style>
  <w:style w:type="paragraph" w:customStyle="1" w:styleId="BeschriftungAbbildung">
    <w:name w:val="Beschriftung Abbildung"/>
    <w:basedOn w:val="Normal"/>
    <w:next w:val="Flietext"/>
    <w:rsid w:val="007A5686"/>
    <w:pPr>
      <w:keepNext/>
      <w:tabs>
        <w:tab w:val="left" w:pos="1134"/>
      </w:tabs>
      <w:suppressAutoHyphens/>
      <w:spacing w:before="113" w:after="680" w:line="200" w:lineRule="atLeast"/>
      <w:ind w:left="567"/>
      <w:jc w:val="both"/>
    </w:pPr>
    <w:rPr>
      <w:rFonts w:ascii="Cambria" w:eastAsia="Times New Roman" w:hAnsi="Cambria" w:cs="Times New Roman"/>
      <w:kern w:val="1"/>
      <w:sz w:val="16"/>
      <w:szCs w:val="20"/>
      <w:lang w:val="en-US" w:eastAsia="ar-SA"/>
    </w:rPr>
  </w:style>
  <w:style w:type="paragraph" w:customStyle="1" w:styleId="Anhang1">
    <w:name w:val="Anhang 1"/>
    <w:next w:val="Flietext"/>
    <w:rsid w:val="007A5686"/>
    <w:pPr>
      <w:keepNext/>
      <w:keepLines/>
      <w:pageBreakBefore/>
      <w:suppressAutoHyphens/>
      <w:spacing w:before="120" w:after="120" w:line="360" w:lineRule="atLeast"/>
    </w:pPr>
    <w:rPr>
      <w:rFonts w:ascii="Arial" w:eastAsia="Times New Roman" w:hAnsi="Arial" w:cs="Times New Roman"/>
      <w:b/>
      <w:sz w:val="28"/>
      <w:szCs w:val="20"/>
      <w:lang w:val="de-DE" w:eastAsia="ar-SA"/>
    </w:rPr>
  </w:style>
  <w:style w:type="paragraph" w:customStyle="1" w:styleId="Anhang2">
    <w:name w:val="Anhang 2"/>
    <w:basedOn w:val="Anhang1"/>
    <w:rsid w:val="007A5686"/>
    <w:pPr>
      <w:pageBreakBefore w:val="0"/>
      <w:spacing w:line="280" w:lineRule="atLeast"/>
    </w:pPr>
    <w:rPr>
      <w:sz w:val="20"/>
    </w:rPr>
  </w:style>
  <w:style w:type="paragraph" w:customStyle="1" w:styleId="Anhang3">
    <w:name w:val="Anhang 3"/>
    <w:basedOn w:val="Anhang2"/>
    <w:rsid w:val="007A5686"/>
  </w:style>
  <w:style w:type="paragraph" w:customStyle="1" w:styleId="Anhang4">
    <w:name w:val="Anhang 4"/>
    <w:basedOn w:val="Anhang3"/>
    <w:rsid w:val="007A5686"/>
  </w:style>
  <w:style w:type="paragraph" w:customStyle="1" w:styleId="Anhang5">
    <w:name w:val="Anhang 5"/>
    <w:basedOn w:val="Anhang4"/>
    <w:next w:val="Flietext"/>
    <w:rsid w:val="007A5686"/>
  </w:style>
  <w:style w:type="paragraph" w:customStyle="1" w:styleId="Anhang6">
    <w:name w:val="Anhang 6"/>
    <w:basedOn w:val="Anhang5"/>
    <w:next w:val="Flietext"/>
    <w:rsid w:val="007A5686"/>
  </w:style>
  <w:style w:type="paragraph" w:customStyle="1" w:styleId="Abbildung">
    <w:name w:val="Abbildung"/>
    <w:basedOn w:val="Flietext"/>
    <w:rsid w:val="007A5686"/>
  </w:style>
  <w:style w:type="paragraph" w:customStyle="1" w:styleId="TableHeading">
    <w:name w:val="Table Heading"/>
    <w:basedOn w:val="TableContents"/>
    <w:next w:val="TableContents"/>
    <w:rsid w:val="007A5686"/>
    <w:pPr>
      <w:shd w:val="clear" w:color="auto" w:fill="808080"/>
    </w:pPr>
    <w:rPr>
      <w:b/>
    </w:rPr>
  </w:style>
  <w:style w:type="paragraph" w:styleId="BalloonText">
    <w:name w:val="Balloon Text"/>
    <w:basedOn w:val="Normal"/>
    <w:link w:val="BalloonTextChar"/>
    <w:rsid w:val="007A5686"/>
    <w:pPr>
      <w:suppressAutoHyphens/>
      <w:spacing w:after="113" w:line="280" w:lineRule="atLeast"/>
      <w:jc w:val="both"/>
    </w:pPr>
    <w:rPr>
      <w:rFonts w:ascii="Tahoma" w:eastAsia="Times New Roman" w:hAnsi="Tahoma" w:cs="Tahoma"/>
      <w:kern w:val="1"/>
      <w:sz w:val="16"/>
      <w:szCs w:val="16"/>
      <w:lang w:val="de-DE" w:eastAsia="ar-SA"/>
    </w:rPr>
  </w:style>
  <w:style w:type="character" w:customStyle="1" w:styleId="BalloonTextChar">
    <w:name w:val="Balloon Text Char"/>
    <w:basedOn w:val="DefaultParagraphFont"/>
    <w:link w:val="BalloonText"/>
    <w:rsid w:val="007A5686"/>
    <w:rPr>
      <w:rFonts w:ascii="Tahoma" w:eastAsia="Times New Roman" w:hAnsi="Tahoma" w:cs="Tahoma"/>
      <w:kern w:val="1"/>
      <w:sz w:val="16"/>
      <w:szCs w:val="16"/>
      <w:lang w:val="de-DE" w:eastAsia="ar-SA"/>
    </w:rPr>
  </w:style>
  <w:style w:type="paragraph" w:customStyle="1" w:styleId="Tabelle2p">
    <w:name w:val="Tabelle_2p"/>
    <w:basedOn w:val="Normal"/>
    <w:rsid w:val="007A5686"/>
    <w:pPr>
      <w:suppressAutoHyphens/>
      <w:spacing w:before="40" w:after="40" w:line="240" w:lineRule="auto"/>
      <w:jc w:val="both"/>
    </w:pPr>
    <w:rPr>
      <w:rFonts w:ascii="Helvetica" w:eastAsia="Times New Roman" w:hAnsi="Helvetica" w:cs="Times New Roman"/>
      <w:b/>
      <w:i/>
      <w:kern w:val="1"/>
      <w:sz w:val="24"/>
      <w:szCs w:val="20"/>
      <w:lang w:val="de-DE" w:eastAsia="ar-SA"/>
    </w:rPr>
  </w:style>
  <w:style w:type="paragraph" w:customStyle="1" w:styleId="Beschriftung11">
    <w:name w:val="Beschriftung11"/>
    <w:basedOn w:val="Normal"/>
    <w:next w:val="Normal"/>
    <w:rsid w:val="007A5686"/>
    <w:pPr>
      <w:suppressAutoHyphens/>
      <w:spacing w:after="113" w:line="280" w:lineRule="atLeast"/>
      <w:jc w:val="both"/>
    </w:pPr>
    <w:rPr>
      <w:rFonts w:ascii="Cambria" w:eastAsia="Times New Roman" w:hAnsi="Cambria" w:cs="Times New Roman"/>
      <w:b/>
      <w:bCs/>
      <w:kern w:val="1"/>
      <w:sz w:val="24"/>
      <w:szCs w:val="20"/>
      <w:lang w:val="de-DE" w:eastAsia="ar-SA"/>
    </w:rPr>
  </w:style>
  <w:style w:type="paragraph" w:customStyle="1" w:styleId="BezeichnungTabelle">
    <w:name w:val="BezeichnungTabelle"/>
    <w:basedOn w:val="Beschriftung11"/>
    <w:rsid w:val="007A5686"/>
    <w:pPr>
      <w:spacing w:before="500" w:after="120" w:line="240" w:lineRule="auto"/>
    </w:pPr>
    <w:rPr>
      <w:rFonts w:ascii="Helvetica" w:hAnsi="Helvetica"/>
      <w:bCs w:val="0"/>
    </w:rPr>
  </w:style>
  <w:style w:type="paragraph" w:styleId="TOC7">
    <w:name w:val="toc 7"/>
    <w:basedOn w:val="Normal"/>
    <w:next w:val="Normal"/>
    <w:semiHidden/>
    <w:rsid w:val="007A5686"/>
    <w:pPr>
      <w:suppressAutoHyphens/>
      <w:spacing w:after="0" w:line="280" w:lineRule="atLeast"/>
      <w:ind w:left="1200"/>
      <w:jc w:val="both"/>
    </w:pPr>
    <w:rPr>
      <w:rFonts w:ascii="Times New Roman" w:eastAsia="Times New Roman" w:hAnsi="Times New Roman" w:cs="Times New Roman"/>
      <w:kern w:val="1"/>
      <w:sz w:val="18"/>
      <w:szCs w:val="18"/>
      <w:lang w:val="de-DE" w:eastAsia="ar-SA"/>
    </w:rPr>
  </w:style>
  <w:style w:type="paragraph" w:styleId="TOC9">
    <w:name w:val="toc 9"/>
    <w:basedOn w:val="Normal"/>
    <w:next w:val="Normal"/>
    <w:semiHidden/>
    <w:rsid w:val="007A5686"/>
    <w:pPr>
      <w:suppressAutoHyphens/>
      <w:spacing w:after="0" w:line="280" w:lineRule="atLeast"/>
      <w:ind w:left="1600"/>
      <w:jc w:val="both"/>
    </w:pPr>
    <w:rPr>
      <w:rFonts w:ascii="Times New Roman" w:eastAsia="Times New Roman" w:hAnsi="Times New Roman" w:cs="Times New Roman"/>
      <w:kern w:val="1"/>
      <w:sz w:val="18"/>
      <w:szCs w:val="18"/>
      <w:lang w:val="de-DE" w:eastAsia="ar-SA"/>
    </w:rPr>
  </w:style>
  <w:style w:type="paragraph" w:styleId="TOC8">
    <w:name w:val="toc 8"/>
    <w:basedOn w:val="Normal"/>
    <w:next w:val="Normal"/>
    <w:semiHidden/>
    <w:rsid w:val="007A5686"/>
    <w:pPr>
      <w:suppressAutoHyphens/>
      <w:spacing w:after="0" w:line="280" w:lineRule="atLeast"/>
      <w:ind w:left="1400"/>
      <w:jc w:val="both"/>
    </w:pPr>
    <w:rPr>
      <w:rFonts w:ascii="Times New Roman" w:eastAsia="Times New Roman" w:hAnsi="Times New Roman" w:cs="Times New Roman"/>
      <w:kern w:val="1"/>
      <w:sz w:val="18"/>
      <w:szCs w:val="18"/>
      <w:lang w:val="de-DE" w:eastAsia="ar-SA"/>
    </w:rPr>
  </w:style>
  <w:style w:type="paragraph" w:customStyle="1" w:styleId="Framecontents">
    <w:name w:val="Frame contents"/>
    <w:basedOn w:val="BodyText"/>
    <w:rsid w:val="007A5686"/>
  </w:style>
  <w:style w:type="paragraph" w:customStyle="1" w:styleId="Contents10">
    <w:name w:val="Contents 10"/>
    <w:basedOn w:val="Index"/>
    <w:rsid w:val="007A5686"/>
    <w:pPr>
      <w:tabs>
        <w:tab w:val="right" w:leader="dot" w:pos="9972"/>
      </w:tabs>
      <w:ind w:left="2547"/>
    </w:pPr>
  </w:style>
  <w:style w:type="table" w:styleId="TableGrid">
    <w:name w:val="Table Grid"/>
    <w:basedOn w:val="TableNormal"/>
    <w:rsid w:val="007A5686"/>
    <w:pPr>
      <w:spacing w:after="113" w:line="28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7A5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4"/>
      <w:szCs w:val="20"/>
      <w:lang w:val="de-DE" w:eastAsia="de-DE"/>
    </w:rPr>
  </w:style>
  <w:style w:type="character" w:customStyle="1" w:styleId="HTMLPreformattedChar">
    <w:name w:val="HTML Preformatted Char"/>
    <w:basedOn w:val="DefaultParagraphFont"/>
    <w:link w:val="HTMLPreformatted"/>
    <w:rsid w:val="007A5686"/>
    <w:rPr>
      <w:rFonts w:ascii="Courier New" w:eastAsia="Times New Roman" w:hAnsi="Courier New" w:cs="Courier New"/>
      <w:sz w:val="24"/>
      <w:szCs w:val="20"/>
      <w:lang w:val="de-DE" w:eastAsia="de-DE"/>
    </w:rPr>
  </w:style>
  <w:style w:type="character" w:styleId="CommentReference">
    <w:name w:val="annotation reference"/>
    <w:semiHidden/>
    <w:rsid w:val="007A5686"/>
    <w:rPr>
      <w:sz w:val="16"/>
      <w:szCs w:val="16"/>
    </w:rPr>
  </w:style>
  <w:style w:type="paragraph" w:styleId="CommentText">
    <w:name w:val="annotation text"/>
    <w:basedOn w:val="Normal"/>
    <w:link w:val="CommentTextChar"/>
    <w:semiHidden/>
    <w:rsid w:val="007A5686"/>
    <w:pPr>
      <w:suppressAutoHyphens/>
      <w:spacing w:after="113" w:line="280" w:lineRule="atLeast"/>
      <w:jc w:val="both"/>
    </w:pPr>
    <w:rPr>
      <w:rFonts w:ascii="Cambria" w:eastAsia="Times New Roman" w:hAnsi="Cambria" w:cs="Times New Roman"/>
      <w:kern w:val="1"/>
      <w:sz w:val="24"/>
      <w:szCs w:val="20"/>
      <w:lang w:val="de-DE" w:eastAsia="ar-SA"/>
    </w:rPr>
  </w:style>
  <w:style w:type="character" w:customStyle="1" w:styleId="CommentTextChar">
    <w:name w:val="Comment Text Char"/>
    <w:basedOn w:val="DefaultParagraphFont"/>
    <w:link w:val="CommentText"/>
    <w:semiHidden/>
    <w:rsid w:val="007A5686"/>
    <w:rPr>
      <w:rFonts w:ascii="Cambria" w:eastAsia="Times New Roman" w:hAnsi="Cambria" w:cs="Times New Roman"/>
      <w:kern w:val="1"/>
      <w:sz w:val="24"/>
      <w:szCs w:val="20"/>
      <w:lang w:val="de-DE" w:eastAsia="ar-SA"/>
    </w:rPr>
  </w:style>
  <w:style w:type="paragraph" w:styleId="CommentSubject">
    <w:name w:val="annotation subject"/>
    <w:basedOn w:val="CommentText"/>
    <w:next w:val="CommentText"/>
    <w:link w:val="CommentSubjectChar"/>
    <w:semiHidden/>
    <w:rsid w:val="007A5686"/>
    <w:rPr>
      <w:b/>
      <w:bCs/>
    </w:rPr>
  </w:style>
  <w:style w:type="character" w:customStyle="1" w:styleId="CommentSubjectChar">
    <w:name w:val="Comment Subject Char"/>
    <w:basedOn w:val="CommentTextChar"/>
    <w:link w:val="CommentSubject"/>
    <w:semiHidden/>
    <w:rsid w:val="007A5686"/>
    <w:rPr>
      <w:rFonts w:ascii="Cambria" w:eastAsia="Times New Roman" w:hAnsi="Cambria" w:cs="Times New Roman"/>
      <w:b/>
      <w:bCs/>
      <w:kern w:val="1"/>
      <w:sz w:val="24"/>
      <w:szCs w:val="20"/>
      <w:lang w:val="de-DE" w:eastAsia="ar-SA"/>
    </w:rPr>
  </w:style>
  <w:style w:type="character" w:styleId="Strong">
    <w:name w:val="Strong"/>
    <w:qFormat/>
    <w:rsid w:val="007A5686"/>
    <w:rPr>
      <w:b/>
      <w:bCs/>
    </w:rPr>
  </w:style>
  <w:style w:type="paragraph" w:styleId="ListParagraph">
    <w:name w:val="List Paragraph"/>
    <w:basedOn w:val="Normal"/>
    <w:uiPriority w:val="34"/>
    <w:qFormat/>
    <w:rsid w:val="007A5686"/>
    <w:pPr>
      <w:spacing w:after="0" w:line="240" w:lineRule="auto"/>
      <w:ind w:left="720"/>
      <w:contextualSpacing/>
      <w:jc w:val="both"/>
    </w:pPr>
    <w:rPr>
      <w:rFonts w:ascii="Times New Roman" w:eastAsia="Times New Roman" w:hAnsi="Times New Roman" w:cs="Times New Roman"/>
      <w:sz w:val="24"/>
      <w:szCs w:val="24"/>
      <w:lang w:val="de-DE" w:eastAsia="de-DE"/>
    </w:rPr>
  </w:style>
  <w:style w:type="paragraph" w:styleId="Revision">
    <w:name w:val="Revision"/>
    <w:hidden/>
    <w:uiPriority w:val="99"/>
    <w:semiHidden/>
    <w:rsid w:val="007A5686"/>
    <w:pPr>
      <w:spacing w:after="0" w:line="240" w:lineRule="auto"/>
    </w:pPr>
    <w:rPr>
      <w:rFonts w:ascii="Arial" w:eastAsia="Times New Roman" w:hAnsi="Arial" w:cs="Times New Roman"/>
      <w:kern w:val="1"/>
      <w:sz w:val="20"/>
      <w:szCs w:val="20"/>
      <w:lang w:val="de-DE" w:eastAsia="ar-SA"/>
    </w:rPr>
  </w:style>
  <w:style w:type="paragraph" w:customStyle="1" w:styleId="TOCHeading1">
    <w:name w:val="TOC Heading1"/>
    <w:basedOn w:val="Heading1"/>
    <w:next w:val="Normal"/>
    <w:uiPriority w:val="39"/>
    <w:unhideWhenUsed/>
    <w:qFormat/>
    <w:rsid w:val="007A5686"/>
    <w:pPr>
      <w:pageBreakBefore w:val="0"/>
      <w:numPr>
        <w:numId w:val="0"/>
      </w:numPr>
      <w:suppressAutoHyphens w:val="0"/>
      <w:spacing w:before="240" w:after="0" w:line="259" w:lineRule="auto"/>
      <w:outlineLvl w:val="9"/>
    </w:pPr>
    <w:rPr>
      <w:rFonts w:eastAsia="SimSun"/>
      <w:b w:val="0"/>
      <w:color w:val="365F91"/>
      <w:kern w:val="0"/>
      <w:sz w:val="32"/>
      <w:szCs w:val="32"/>
      <w:lang w:val="en-US" w:eastAsia="en-US"/>
    </w:rPr>
  </w:style>
  <w:style w:type="character" w:styleId="Emphasis">
    <w:name w:val="Emphasis"/>
    <w:basedOn w:val="DefaultParagraphFont"/>
    <w:qFormat/>
    <w:rsid w:val="007A5686"/>
    <w:rPr>
      <w:i/>
      <w:iCs/>
    </w:rPr>
  </w:style>
  <w:style w:type="character" w:styleId="FootnoteReference">
    <w:name w:val="footnote reference"/>
    <w:basedOn w:val="DefaultParagraphFont"/>
    <w:uiPriority w:val="99"/>
    <w:semiHidden/>
    <w:unhideWhenUsed/>
    <w:rsid w:val="0087317A"/>
    <w:rPr>
      <w:vertAlign w:val="superscript"/>
    </w:rPr>
  </w:style>
  <w:style w:type="paragraph" w:customStyle="1" w:styleId="SectionHeading">
    <w:name w:val="Section Heading"/>
    <w:basedOn w:val="Normal"/>
    <w:rsid w:val="0087317A"/>
    <w:pPr>
      <w:numPr>
        <w:numId w:val="6"/>
      </w:numPr>
      <w:spacing w:line="256" w:lineRule="auto"/>
    </w:pPr>
    <w:rPr>
      <w:rFonts w:ascii="Arial" w:hAnsi="Arial"/>
      <w:kern w:val="2"/>
      <w14:ligatures w14:val="standardContextual"/>
    </w:rPr>
  </w:style>
  <w:style w:type="paragraph" w:customStyle="1" w:styleId="SectionSubheading">
    <w:name w:val="Section Subheading"/>
    <w:basedOn w:val="Normal"/>
    <w:rsid w:val="0087317A"/>
    <w:pPr>
      <w:numPr>
        <w:ilvl w:val="1"/>
        <w:numId w:val="6"/>
      </w:numPr>
      <w:spacing w:line="256" w:lineRule="auto"/>
    </w:pPr>
    <w:rPr>
      <w:rFonts w:ascii="Arial" w:hAnsi="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F1BF-91DF-4ABA-A992-3BA28A25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Naa Lamley Lamptey</dc:creator>
  <cp:keywords/>
  <dc:description/>
  <cp:lastModifiedBy>Sarah Naa Lamley Lamptey</cp:lastModifiedBy>
  <cp:revision>4</cp:revision>
  <cp:lastPrinted>2024-03-13T11:38:00Z</cp:lastPrinted>
  <dcterms:created xsi:type="dcterms:W3CDTF">2024-03-08T14:09:00Z</dcterms:created>
  <dcterms:modified xsi:type="dcterms:W3CDTF">2024-03-13T11:38:00Z</dcterms:modified>
</cp:coreProperties>
</file>